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1" w:rsidRDefault="00EA624B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517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运营商满意度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问卷分析</w:t>
      </w:r>
    </w:p>
    <w:p w:rsidR="001A0F61" w:rsidRDefault="001A0F61">
      <w:pPr>
        <w:rPr>
          <w:rFonts w:ascii="仿宋_GB2312" w:eastAsia="仿宋_GB2312" w:hAnsi="仿宋_GB2312" w:cs="仿宋_GB2312"/>
          <w:b/>
          <w:bCs/>
          <w:sz w:val="24"/>
        </w:rPr>
      </w:pPr>
    </w:p>
    <w:p w:rsidR="001A0F61" w:rsidRDefault="00EA624B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本次调查旨在了解“提速降费”是否真正为消费者带来变化和影响，通过本次问卷，为大家从了解消费者心中所想，有了更深的体会。问卷</w:t>
      </w:r>
      <w:r>
        <w:rPr>
          <w:rFonts w:ascii="仿宋_GB2312" w:eastAsia="仿宋_GB2312" w:hAnsi="仿宋_GB2312" w:cs="仿宋_GB2312" w:hint="eastAsia"/>
          <w:sz w:val="24"/>
        </w:rPr>
        <w:t>结果如下：</w:t>
      </w: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  <w:bookmarkStart w:id="0" w:name="_GoBack"/>
      <w:bookmarkEnd w:id="0"/>
    </w:p>
    <w:p w:rsidR="001A0F61" w:rsidRDefault="00EA624B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1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、运营商占比及人数如下：</w:t>
      </w:r>
    </w:p>
    <w:p w:rsidR="001A0F61" w:rsidRDefault="00EA624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仅使用移动的占比</w:t>
      </w:r>
      <w:r>
        <w:rPr>
          <w:rFonts w:ascii="仿宋_GB2312" w:eastAsia="仿宋_GB2312" w:hAnsi="仿宋_GB2312" w:cs="仿宋_GB2312" w:hint="eastAsia"/>
          <w:sz w:val="24"/>
        </w:rPr>
        <w:t>35.31%</w:t>
      </w:r>
    </w:p>
    <w:p w:rsidR="001A0F61" w:rsidRDefault="00EA624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仅使用联通的占比</w:t>
      </w:r>
      <w:r>
        <w:rPr>
          <w:rFonts w:ascii="仿宋_GB2312" w:eastAsia="仿宋_GB2312" w:hAnsi="仿宋_GB2312" w:cs="仿宋_GB2312" w:hint="eastAsia"/>
          <w:sz w:val="24"/>
        </w:rPr>
        <w:t>23.22%</w:t>
      </w:r>
    </w:p>
    <w:p w:rsidR="001A0F61" w:rsidRDefault="00EA624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仅使用电信的占比</w:t>
      </w:r>
      <w:r>
        <w:rPr>
          <w:rFonts w:ascii="仿宋_GB2312" w:eastAsia="仿宋_GB2312" w:hAnsi="仿宋_GB2312" w:cs="仿宋_GB2312" w:hint="eastAsia"/>
          <w:sz w:val="24"/>
        </w:rPr>
        <w:t>8.63%</w:t>
      </w:r>
    </w:p>
    <w:p w:rsidR="001A0F61" w:rsidRDefault="00EA624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同时使用移动和电信占比</w:t>
      </w:r>
      <w:r>
        <w:rPr>
          <w:rFonts w:ascii="仿宋_GB2312" w:eastAsia="仿宋_GB2312" w:hAnsi="仿宋_GB2312" w:cs="仿宋_GB2312" w:hint="eastAsia"/>
          <w:sz w:val="24"/>
        </w:rPr>
        <w:t>12.98%</w:t>
      </w:r>
    </w:p>
    <w:p w:rsidR="001A0F61" w:rsidRDefault="00EA624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同时使用移动和联通占比</w:t>
      </w:r>
      <w:r>
        <w:rPr>
          <w:rFonts w:ascii="仿宋_GB2312" w:eastAsia="仿宋_GB2312" w:hAnsi="仿宋_GB2312" w:cs="仿宋_GB2312" w:hint="eastAsia"/>
          <w:sz w:val="24"/>
        </w:rPr>
        <w:t>9.38%</w:t>
      </w:r>
    </w:p>
    <w:p w:rsidR="001A0F61" w:rsidRDefault="00EA624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同时使用电信和联通占比</w:t>
      </w:r>
      <w:r>
        <w:rPr>
          <w:rFonts w:ascii="仿宋_GB2312" w:eastAsia="仿宋_GB2312" w:hAnsi="仿宋_GB2312" w:cs="仿宋_GB2312" w:hint="eastAsia"/>
          <w:sz w:val="24"/>
        </w:rPr>
        <w:t>2.59%</w:t>
      </w:r>
    </w:p>
    <w:p w:rsidR="001A0F61" w:rsidRDefault="00EA624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同时使用三家运营商的用户占比</w:t>
      </w:r>
      <w:r>
        <w:rPr>
          <w:rFonts w:ascii="仿宋_GB2312" w:eastAsia="仿宋_GB2312" w:hAnsi="仿宋_GB2312" w:cs="仿宋_GB2312" w:hint="eastAsia"/>
          <w:sz w:val="24"/>
        </w:rPr>
        <w:t>7.88%</w:t>
      </w: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EA624B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、年龄分布如下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834" w:tblpY="168"/>
        <w:tblOverlap w:val="never"/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4"/>
        <w:gridCol w:w="1491"/>
        <w:gridCol w:w="1434"/>
        <w:gridCol w:w="1453"/>
        <w:gridCol w:w="1494"/>
      </w:tblGrid>
      <w:tr w:rsidR="001A0F61">
        <w:trPr>
          <w:trHeight w:val="367"/>
        </w:trPr>
        <w:tc>
          <w:tcPr>
            <w:tcW w:w="246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运营商</w:t>
            </w: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20-30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岁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30-40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岁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40-50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岁</w:t>
            </w:r>
          </w:p>
        </w:tc>
        <w:tc>
          <w:tcPr>
            <w:tcW w:w="1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岁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+</w:t>
            </w:r>
          </w:p>
        </w:tc>
      </w:tr>
      <w:tr w:rsidR="001A0F61">
        <w:trPr>
          <w:trHeight w:val="269"/>
        </w:trPr>
        <w:tc>
          <w:tcPr>
            <w:tcW w:w="246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1A0F6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占比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占比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占比</w:t>
            </w:r>
          </w:p>
        </w:tc>
        <w:tc>
          <w:tcPr>
            <w:tcW w:w="1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占比</w:t>
            </w:r>
          </w:p>
        </w:tc>
      </w:tr>
      <w:tr w:rsidR="001A0F61">
        <w:trPr>
          <w:trHeight w:val="446"/>
        </w:trPr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移动</w:t>
            </w: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44.80%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46.91%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6.98%</w:t>
            </w:r>
          </w:p>
        </w:tc>
        <w:tc>
          <w:tcPr>
            <w:tcW w:w="1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1.31%</w:t>
            </w:r>
          </w:p>
        </w:tc>
      </w:tr>
      <w:tr w:rsidR="001A0F61">
        <w:trPr>
          <w:trHeight w:val="446"/>
        </w:trPr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电信</w:t>
            </w: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37.99%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48.42%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11.51%</w:t>
            </w:r>
          </w:p>
        </w:tc>
        <w:tc>
          <w:tcPr>
            <w:tcW w:w="1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2.08%</w:t>
            </w:r>
          </w:p>
        </w:tc>
      </w:tr>
      <w:tr w:rsidR="001A0F61">
        <w:trPr>
          <w:trHeight w:val="446"/>
        </w:trPr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联通</w:t>
            </w: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50.12%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41.84%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6.53%</w:t>
            </w:r>
          </w:p>
        </w:tc>
        <w:tc>
          <w:tcPr>
            <w:tcW w:w="1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F61" w:rsidRDefault="00EA62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1.51%</w:t>
            </w:r>
          </w:p>
        </w:tc>
      </w:tr>
    </w:tbl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1A0F61" w:rsidRDefault="00EA624B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3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、每月话费使用情况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1402"/>
        <w:gridCol w:w="1821"/>
        <w:gridCol w:w="1821"/>
        <w:gridCol w:w="1991"/>
        <w:gridCol w:w="1487"/>
      </w:tblGrid>
      <w:tr w:rsidR="001A0F61">
        <w:trPr>
          <w:trHeight w:val="395"/>
          <w:jc w:val="center"/>
        </w:trPr>
        <w:tc>
          <w:tcPr>
            <w:tcW w:w="1402" w:type="dxa"/>
            <w:vMerge w:val="restart"/>
            <w:shd w:val="clear" w:color="auto" w:fill="E7E6E6" w:themeFill="background2"/>
            <w:vAlign w:val="bottom"/>
          </w:tcPr>
          <w:p w:rsidR="001A0F61" w:rsidRDefault="00EA62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运营商</w:t>
            </w:r>
          </w:p>
        </w:tc>
        <w:tc>
          <w:tcPr>
            <w:tcW w:w="1821" w:type="dxa"/>
            <w:shd w:val="clear" w:color="auto" w:fill="E7E6E6" w:themeFill="background2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元以内</w:t>
            </w:r>
          </w:p>
        </w:tc>
        <w:tc>
          <w:tcPr>
            <w:tcW w:w="1821" w:type="dxa"/>
            <w:shd w:val="clear" w:color="auto" w:fill="E7E6E6" w:themeFill="background2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50-100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1991" w:type="dxa"/>
            <w:shd w:val="clear" w:color="auto" w:fill="E7E6E6" w:themeFill="background2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100-200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1487" w:type="dxa"/>
            <w:shd w:val="clear" w:color="auto" w:fill="E7E6E6" w:themeFill="background2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200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+</w:t>
            </w:r>
          </w:p>
        </w:tc>
      </w:tr>
      <w:tr w:rsidR="001A0F61">
        <w:trPr>
          <w:jc w:val="center"/>
        </w:trPr>
        <w:tc>
          <w:tcPr>
            <w:tcW w:w="1402" w:type="dxa"/>
            <w:vMerge/>
            <w:shd w:val="clear" w:color="auto" w:fill="E7E6E6" w:themeFill="background2"/>
            <w:vAlign w:val="bottom"/>
          </w:tcPr>
          <w:p w:rsidR="001A0F61" w:rsidRDefault="001A0F6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821" w:type="dxa"/>
            <w:shd w:val="clear" w:color="auto" w:fill="E7E6E6" w:themeFill="background2"/>
            <w:vAlign w:val="bottom"/>
          </w:tcPr>
          <w:p w:rsidR="001A0F61" w:rsidRDefault="00EA624B">
            <w:pPr>
              <w:widowControl/>
              <w:tabs>
                <w:tab w:val="left" w:pos="551"/>
                <w:tab w:val="right" w:pos="1608"/>
              </w:tabs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占比</w:t>
            </w:r>
          </w:p>
        </w:tc>
        <w:tc>
          <w:tcPr>
            <w:tcW w:w="1821" w:type="dxa"/>
            <w:shd w:val="clear" w:color="auto" w:fill="E7E6E6" w:themeFill="background2"/>
            <w:vAlign w:val="bottom"/>
          </w:tcPr>
          <w:p w:rsidR="001A0F61" w:rsidRDefault="00EA624B">
            <w:pPr>
              <w:widowControl/>
              <w:tabs>
                <w:tab w:val="left" w:pos="551"/>
                <w:tab w:val="right" w:pos="1608"/>
              </w:tabs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占比</w:t>
            </w:r>
          </w:p>
        </w:tc>
        <w:tc>
          <w:tcPr>
            <w:tcW w:w="1991" w:type="dxa"/>
            <w:shd w:val="clear" w:color="auto" w:fill="E7E6E6" w:themeFill="background2"/>
            <w:vAlign w:val="bottom"/>
          </w:tcPr>
          <w:p w:rsidR="001A0F61" w:rsidRDefault="00EA624B">
            <w:pPr>
              <w:widowControl/>
              <w:tabs>
                <w:tab w:val="left" w:pos="551"/>
                <w:tab w:val="right" w:pos="1608"/>
              </w:tabs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占比</w:t>
            </w:r>
          </w:p>
        </w:tc>
        <w:tc>
          <w:tcPr>
            <w:tcW w:w="1487" w:type="dxa"/>
            <w:shd w:val="clear" w:color="auto" w:fill="E7E6E6" w:themeFill="background2"/>
            <w:vAlign w:val="bottom"/>
          </w:tcPr>
          <w:p w:rsidR="001A0F61" w:rsidRDefault="00EA624B">
            <w:pPr>
              <w:widowControl/>
              <w:tabs>
                <w:tab w:val="left" w:pos="551"/>
                <w:tab w:val="right" w:pos="1608"/>
              </w:tabs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占比</w:t>
            </w:r>
          </w:p>
        </w:tc>
      </w:tr>
      <w:tr w:rsidR="001A0F61">
        <w:trPr>
          <w:trHeight w:val="487"/>
          <w:jc w:val="center"/>
        </w:trPr>
        <w:tc>
          <w:tcPr>
            <w:tcW w:w="1402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移动</w:t>
            </w:r>
          </w:p>
        </w:tc>
        <w:tc>
          <w:tcPr>
            <w:tcW w:w="1821" w:type="dxa"/>
            <w:vAlign w:val="bottom"/>
          </w:tcPr>
          <w:p w:rsidR="001A0F61" w:rsidRDefault="00EA624B">
            <w:pPr>
              <w:widowControl/>
              <w:tabs>
                <w:tab w:val="left" w:pos="551"/>
                <w:tab w:val="right" w:pos="1608"/>
              </w:tabs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24.12%</w:t>
            </w:r>
          </w:p>
        </w:tc>
        <w:tc>
          <w:tcPr>
            <w:tcW w:w="1821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50.19%</w:t>
            </w:r>
          </w:p>
        </w:tc>
        <w:tc>
          <w:tcPr>
            <w:tcW w:w="1991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20.14%</w:t>
            </w:r>
          </w:p>
        </w:tc>
        <w:tc>
          <w:tcPr>
            <w:tcW w:w="1487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5.55%</w:t>
            </w:r>
          </w:p>
        </w:tc>
      </w:tr>
      <w:tr w:rsidR="001A0F61">
        <w:trPr>
          <w:trHeight w:val="487"/>
          <w:jc w:val="center"/>
        </w:trPr>
        <w:tc>
          <w:tcPr>
            <w:tcW w:w="1402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电信</w:t>
            </w:r>
          </w:p>
        </w:tc>
        <w:tc>
          <w:tcPr>
            <w:tcW w:w="1821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13.3%</w:t>
            </w:r>
          </w:p>
        </w:tc>
        <w:tc>
          <w:tcPr>
            <w:tcW w:w="1821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45.97%</w:t>
            </w:r>
          </w:p>
        </w:tc>
        <w:tc>
          <w:tcPr>
            <w:tcW w:w="1991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31.1%</w:t>
            </w:r>
          </w:p>
        </w:tc>
        <w:tc>
          <w:tcPr>
            <w:tcW w:w="1487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9.63%</w:t>
            </w:r>
          </w:p>
        </w:tc>
      </w:tr>
      <w:tr w:rsidR="001A0F61">
        <w:trPr>
          <w:trHeight w:val="487"/>
          <w:jc w:val="center"/>
        </w:trPr>
        <w:tc>
          <w:tcPr>
            <w:tcW w:w="1402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联通</w:t>
            </w:r>
          </w:p>
        </w:tc>
        <w:tc>
          <w:tcPr>
            <w:tcW w:w="1821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20.57%</w:t>
            </w:r>
          </w:p>
        </w:tc>
        <w:tc>
          <w:tcPr>
            <w:tcW w:w="1821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48.25%</w:t>
            </w:r>
          </w:p>
        </w:tc>
        <w:tc>
          <w:tcPr>
            <w:tcW w:w="1991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23.68%</w:t>
            </w:r>
          </w:p>
        </w:tc>
        <w:tc>
          <w:tcPr>
            <w:tcW w:w="1487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7.51%</w:t>
            </w:r>
          </w:p>
        </w:tc>
      </w:tr>
      <w:tr w:rsidR="001A0F61">
        <w:trPr>
          <w:trHeight w:val="487"/>
          <w:jc w:val="center"/>
        </w:trPr>
        <w:tc>
          <w:tcPr>
            <w:tcW w:w="1402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合计</w:t>
            </w:r>
          </w:p>
        </w:tc>
        <w:tc>
          <w:tcPr>
            <w:tcW w:w="1821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21.55%</w:t>
            </w:r>
          </w:p>
        </w:tc>
        <w:tc>
          <w:tcPr>
            <w:tcW w:w="1821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48.22%</w:t>
            </w:r>
          </w:p>
        </w:tc>
        <w:tc>
          <w:tcPr>
            <w:tcW w:w="1991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23.71%</w:t>
            </w:r>
          </w:p>
        </w:tc>
        <w:tc>
          <w:tcPr>
            <w:tcW w:w="1487" w:type="dxa"/>
            <w:vAlign w:val="bottom"/>
          </w:tcPr>
          <w:p w:rsidR="001A0F61" w:rsidRDefault="00EA624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6.52%</w:t>
            </w:r>
          </w:p>
        </w:tc>
      </w:tr>
    </w:tbl>
    <w:p w:rsidR="001A0F61" w:rsidRDefault="001A0F61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EA624B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4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、选择运营商时，消费者最在意的是什么（多选题）</w:t>
      </w:r>
    </w:p>
    <w:p w:rsidR="001A0F61" w:rsidRDefault="00EA624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网络质量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    74.09%</w:t>
      </w:r>
      <w:r>
        <w:rPr>
          <w:rFonts w:ascii="仿宋_GB2312" w:eastAsia="仿宋_GB2312" w:hAnsi="仿宋_GB2312" w:cs="仿宋_GB2312" w:hint="eastAsia"/>
          <w:sz w:val="24"/>
        </w:rPr>
        <w:tab/>
      </w:r>
    </w:p>
    <w:p w:rsidR="001A0F61" w:rsidRDefault="00EA624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资费高低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>56.79%</w:t>
      </w:r>
      <w:r>
        <w:rPr>
          <w:rFonts w:ascii="仿宋_GB2312" w:eastAsia="仿宋_GB2312" w:hAnsi="仿宋_GB2312" w:cs="仿宋_GB2312" w:hint="eastAsia"/>
          <w:sz w:val="24"/>
        </w:rPr>
        <w:tab/>
      </w:r>
    </w:p>
    <w:p w:rsidR="001A0F61" w:rsidRDefault="00EA624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服务态度及便捷度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54.68%</w:t>
      </w:r>
      <w:r>
        <w:rPr>
          <w:rFonts w:ascii="仿宋_GB2312" w:eastAsia="仿宋_GB2312" w:hAnsi="仿宋_GB2312" w:cs="仿宋_GB2312" w:hint="eastAsia"/>
          <w:sz w:val="24"/>
        </w:rPr>
        <w:tab/>
      </w:r>
    </w:p>
    <w:p w:rsidR="001A0F61" w:rsidRDefault="00EA624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品牌好感度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    27.58%</w:t>
      </w: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EA624B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5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、功能大比拼</w:t>
      </w:r>
    </w:p>
    <w:p w:rsidR="001A0F61" w:rsidRDefault="00EA624B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3844925" cy="2879725"/>
            <wp:effectExtent l="9525" t="9525" r="12700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925" cy="2879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1A0F61" w:rsidRDefault="001A0F61">
      <w:pPr>
        <w:jc w:val="center"/>
      </w:pPr>
    </w:p>
    <w:p w:rsidR="001A0F61" w:rsidRDefault="00EA624B">
      <w:pPr>
        <w:jc w:val="center"/>
      </w:pPr>
      <w:r>
        <w:rPr>
          <w:noProof/>
        </w:rPr>
        <w:drawing>
          <wp:inline distT="0" distB="0" distL="114300" distR="114300">
            <wp:extent cx="3839845" cy="2879725"/>
            <wp:effectExtent l="9525" t="9525" r="17780" b="254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2879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1A0F61" w:rsidRDefault="00EA624B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3836035" cy="2879725"/>
            <wp:effectExtent l="9525" t="9525" r="21590" b="254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2879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1A0F61" w:rsidRDefault="001A0F61">
      <w:pPr>
        <w:jc w:val="center"/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jc w:val="center"/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EA624B">
      <w:pPr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6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、携号转网全面开放，哪家运营商最得人心</w:t>
      </w:r>
    </w:p>
    <w:p w:rsidR="001A0F61" w:rsidRDefault="00EA624B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电信的忠实用户占比</w:t>
      </w:r>
      <w:r>
        <w:rPr>
          <w:rFonts w:ascii="仿宋_GB2312" w:eastAsia="仿宋_GB2312" w:hAnsi="仿宋_GB2312" w:cs="仿宋_GB2312" w:hint="eastAsia"/>
          <w:sz w:val="24"/>
        </w:rPr>
        <w:t>65.65%</w:t>
      </w:r>
      <w:r>
        <w:rPr>
          <w:rFonts w:ascii="仿宋_GB2312" w:eastAsia="仿宋_GB2312" w:hAnsi="仿宋_GB2312" w:cs="仿宋_GB2312" w:hint="eastAsia"/>
          <w:sz w:val="24"/>
        </w:rPr>
        <w:t>；想要转网移动的占比为</w:t>
      </w:r>
      <w:r>
        <w:rPr>
          <w:rFonts w:ascii="仿宋_GB2312" w:eastAsia="仿宋_GB2312" w:hAnsi="仿宋_GB2312" w:cs="仿宋_GB2312" w:hint="eastAsia"/>
          <w:sz w:val="24"/>
        </w:rPr>
        <w:t>23.48%</w:t>
      </w:r>
      <w:r>
        <w:rPr>
          <w:rFonts w:ascii="仿宋_GB2312" w:eastAsia="仿宋_GB2312" w:hAnsi="仿宋_GB2312" w:cs="仿宋_GB2312" w:hint="eastAsia"/>
          <w:sz w:val="24"/>
        </w:rPr>
        <w:t>；想要转网联通占比为</w:t>
      </w:r>
      <w:r>
        <w:rPr>
          <w:rFonts w:ascii="仿宋_GB2312" w:eastAsia="仿宋_GB2312" w:hAnsi="仿宋_GB2312" w:cs="仿宋_GB2312" w:hint="eastAsia"/>
          <w:sz w:val="24"/>
        </w:rPr>
        <w:t>12.85%</w:t>
      </w:r>
      <w:r>
        <w:rPr>
          <w:rFonts w:ascii="仿宋_GB2312" w:eastAsia="仿宋_GB2312" w:hAnsi="仿宋_GB2312" w:cs="仿宋_GB2312" w:hint="eastAsia"/>
          <w:sz w:val="24"/>
        </w:rPr>
        <w:t>；</w:t>
      </w:r>
    </w:p>
    <w:p w:rsidR="001A0F61" w:rsidRDefault="00EA624B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移动的忠实用户占比</w:t>
      </w:r>
      <w:r>
        <w:rPr>
          <w:rFonts w:ascii="仿宋_GB2312" w:eastAsia="仿宋_GB2312" w:hAnsi="仿宋_GB2312" w:cs="仿宋_GB2312" w:hint="eastAsia"/>
          <w:sz w:val="24"/>
        </w:rPr>
        <w:t>63%</w:t>
      </w:r>
      <w:r>
        <w:rPr>
          <w:rFonts w:ascii="仿宋_GB2312" w:eastAsia="仿宋_GB2312" w:hAnsi="仿宋_GB2312" w:cs="仿宋_GB2312" w:hint="eastAsia"/>
          <w:sz w:val="24"/>
        </w:rPr>
        <w:t>；想要转网电信的占比为</w:t>
      </w:r>
      <w:r>
        <w:rPr>
          <w:rFonts w:ascii="仿宋_GB2312" w:eastAsia="仿宋_GB2312" w:hAnsi="仿宋_GB2312" w:cs="仿宋_GB2312" w:hint="eastAsia"/>
          <w:sz w:val="24"/>
        </w:rPr>
        <w:t>24.16%</w:t>
      </w:r>
      <w:r>
        <w:rPr>
          <w:rFonts w:ascii="仿宋_GB2312" w:eastAsia="仿宋_GB2312" w:hAnsi="仿宋_GB2312" w:cs="仿宋_GB2312" w:hint="eastAsia"/>
          <w:sz w:val="24"/>
        </w:rPr>
        <w:t>；想要转网联通的占比为</w:t>
      </w:r>
      <w:r>
        <w:rPr>
          <w:rFonts w:ascii="仿宋_GB2312" w:eastAsia="仿宋_GB2312" w:hAnsi="仿宋_GB2312" w:cs="仿宋_GB2312" w:hint="eastAsia"/>
          <w:sz w:val="24"/>
        </w:rPr>
        <w:t>23.48%</w:t>
      </w:r>
      <w:r>
        <w:rPr>
          <w:rFonts w:ascii="仿宋_GB2312" w:eastAsia="仿宋_GB2312" w:hAnsi="仿宋_GB2312" w:cs="仿宋_GB2312" w:hint="eastAsia"/>
          <w:sz w:val="24"/>
        </w:rPr>
        <w:t>；</w:t>
      </w:r>
    </w:p>
    <w:p w:rsidR="001A0F61" w:rsidRDefault="00EA624B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联通的忠实用户占比</w:t>
      </w:r>
      <w:r>
        <w:rPr>
          <w:rFonts w:ascii="仿宋_GB2312" w:eastAsia="仿宋_GB2312" w:hAnsi="仿宋_GB2312" w:cs="仿宋_GB2312" w:hint="eastAsia"/>
          <w:sz w:val="24"/>
        </w:rPr>
        <w:t>48.31%</w:t>
      </w:r>
      <w:r>
        <w:rPr>
          <w:rFonts w:ascii="仿宋_GB2312" w:eastAsia="仿宋_GB2312" w:hAnsi="仿宋_GB2312" w:cs="仿宋_GB2312" w:hint="eastAsia"/>
          <w:sz w:val="24"/>
        </w:rPr>
        <w:t>；想要转网移动的占比为</w:t>
      </w:r>
      <w:r>
        <w:rPr>
          <w:rFonts w:ascii="仿宋_GB2312" w:eastAsia="仿宋_GB2312" w:hAnsi="仿宋_GB2312" w:cs="仿宋_GB2312" w:hint="eastAsia"/>
          <w:sz w:val="24"/>
        </w:rPr>
        <w:t>31.61%</w:t>
      </w:r>
      <w:r>
        <w:rPr>
          <w:rFonts w:ascii="仿宋_GB2312" w:eastAsia="仿宋_GB2312" w:hAnsi="仿宋_GB2312" w:cs="仿宋_GB2312" w:hint="eastAsia"/>
          <w:sz w:val="24"/>
        </w:rPr>
        <w:t>；想要转网电信的占比为</w:t>
      </w:r>
      <w:r>
        <w:rPr>
          <w:rFonts w:ascii="仿宋_GB2312" w:eastAsia="仿宋_GB2312" w:hAnsi="仿宋_GB2312" w:cs="仿宋_GB2312" w:hint="eastAsia"/>
          <w:sz w:val="24"/>
        </w:rPr>
        <w:t>24.16%</w:t>
      </w:r>
      <w:r>
        <w:rPr>
          <w:rFonts w:ascii="仿宋_GB2312" w:eastAsia="仿宋_GB2312" w:hAnsi="仿宋_GB2312" w:cs="仿宋_GB2312" w:hint="eastAsia"/>
          <w:sz w:val="24"/>
        </w:rPr>
        <w:t>。</w:t>
      </w: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EA624B" w:rsidP="00D26A7B">
      <w:pPr>
        <w:ind w:firstLineChars="200" w:firstLine="480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以上问卷数据涉及多选题，且提取数据受及时刷新数据的影响，仅供参考，</w:t>
      </w:r>
      <w:r>
        <w:rPr>
          <w:rFonts w:ascii="仿宋_GB2312" w:eastAsia="仿宋_GB2312" w:hAnsi="仿宋_GB2312" w:cs="仿宋_GB2312" w:hint="eastAsia"/>
          <w:b/>
          <w:bCs/>
          <w:sz w:val="24"/>
        </w:rPr>
        <w:lastRenderedPageBreak/>
        <w:t>谢谢！</w:t>
      </w: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p w:rsidR="001A0F61" w:rsidRDefault="001A0F61">
      <w:pPr>
        <w:rPr>
          <w:rFonts w:ascii="仿宋_GB2312" w:eastAsia="仿宋_GB2312" w:hAnsi="仿宋_GB2312" w:cs="仿宋_GB2312"/>
          <w:sz w:val="24"/>
        </w:rPr>
      </w:pPr>
    </w:p>
    <w:sectPr w:rsidR="001A0F61" w:rsidSect="001A0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4B" w:rsidRDefault="00EA624B" w:rsidP="00D26A7B">
      <w:r>
        <w:separator/>
      </w:r>
    </w:p>
  </w:endnote>
  <w:endnote w:type="continuationSeparator" w:id="1">
    <w:p w:rsidR="00EA624B" w:rsidRDefault="00EA624B" w:rsidP="00D26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4B" w:rsidRDefault="00EA624B" w:rsidP="00D26A7B">
      <w:r>
        <w:separator/>
      </w:r>
    </w:p>
  </w:footnote>
  <w:footnote w:type="continuationSeparator" w:id="1">
    <w:p w:rsidR="00EA624B" w:rsidRDefault="00EA624B" w:rsidP="00D26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A0F61"/>
    <w:rsid w:val="00191C4C"/>
    <w:rsid w:val="001A0F61"/>
    <w:rsid w:val="00D26A7B"/>
    <w:rsid w:val="00EA624B"/>
    <w:rsid w:val="0A2F3D2C"/>
    <w:rsid w:val="0C312BFF"/>
    <w:rsid w:val="0FE01727"/>
    <w:rsid w:val="155A5C0E"/>
    <w:rsid w:val="197C29B6"/>
    <w:rsid w:val="1E5431C7"/>
    <w:rsid w:val="1F803089"/>
    <w:rsid w:val="21B34EDB"/>
    <w:rsid w:val="21C82A36"/>
    <w:rsid w:val="2B4B745E"/>
    <w:rsid w:val="358622F1"/>
    <w:rsid w:val="36247F9D"/>
    <w:rsid w:val="37C32D2C"/>
    <w:rsid w:val="3BA30078"/>
    <w:rsid w:val="450D03E7"/>
    <w:rsid w:val="45ED7FB2"/>
    <w:rsid w:val="482578BB"/>
    <w:rsid w:val="4D4B5247"/>
    <w:rsid w:val="549538F8"/>
    <w:rsid w:val="5A3D6B1F"/>
    <w:rsid w:val="5F1B02A4"/>
    <w:rsid w:val="632F620F"/>
    <w:rsid w:val="63504E78"/>
    <w:rsid w:val="67DF5ED1"/>
    <w:rsid w:val="69684C0A"/>
    <w:rsid w:val="718B51AF"/>
    <w:rsid w:val="71A513AB"/>
    <w:rsid w:val="72303AC8"/>
    <w:rsid w:val="74F120EF"/>
    <w:rsid w:val="77AC4300"/>
    <w:rsid w:val="77CB3C14"/>
    <w:rsid w:val="7A39129E"/>
    <w:rsid w:val="7EE4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F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A0F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26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6A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26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6A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cp:lastPrinted>2019-05-15T02:35:00Z</cp:lastPrinted>
  <dcterms:created xsi:type="dcterms:W3CDTF">2019-05-16T04:02:00Z</dcterms:created>
  <dcterms:modified xsi:type="dcterms:W3CDTF">2019-05-16T04:02:00Z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