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after="156" w:afterLines="50" w:line="580" w:lineRule="exact"/>
        <w:jc w:val="left"/>
        <w:rPr>
          <w:rFonts w:hint="eastAsia" w:ascii="Times New Roman" w:hAnsi="Times New Roman" w:eastAsia="华文中宋"/>
          <w:b/>
          <w:bCs/>
          <w:kern w:val="0"/>
          <w:sz w:val="28"/>
          <w:szCs w:val="28"/>
          <w:lang w:val="en-US" w:eastAsia="zh-CN"/>
        </w:rPr>
      </w:pPr>
      <w:r>
        <w:rPr>
          <w:rFonts w:hint="eastAsia" w:ascii="Times New Roman" w:hAnsi="Times New Roman" w:eastAsia="华文中宋"/>
          <w:b/>
          <w:bCs/>
          <w:kern w:val="0"/>
          <w:sz w:val="28"/>
          <w:szCs w:val="28"/>
          <w:lang w:eastAsia="zh-CN"/>
        </w:rPr>
        <w:t>附件</w:t>
      </w:r>
      <w:r>
        <w:rPr>
          <w:rFonts w:hint="eastAsia" w:ascii="Times New Roman" w:hAnsi="Times New Roman" w:eastAsia="华文中宋"/>
          <w:b/>
          <w:bCs/>
          <w:kern w:val="0"/>
          <w:sz w:val="28"/>
          <w:szCs w:val="28"/>
          <w:lang w:val="en-US" w:eastAsia="zh-CN"/>
        </w:rPr>
        <w:t>7</w:t>
      </w:r>
    </w:p>
    <w:p>
      <w:pPr>
        <w:widowControl/>
        <w:shd w:val="clear" w:color="auto" w:fill="FFFFFF"/>
        <w:spacing w:after="156" w:afterLines="50" w:line="580" w:lineRule="exact"/>
        <w:jc w:val="center"/>
        <w:rPr>
          <w:rFonts w:ascii="Times New Roman" w:hAnsi="华文中宋" w:eastAsia="华文中宋"/>
          <w:b/>
          <w:bCs/>
          <w:kern w:val="0"/>
          <w:sz w:val="28"/>
          <w:szCs w:val="28"/>
        </w:rPr>
      </w:pPr>
      <w:r>
        <w:rPr>
          <w:rFonts w:ascii="Times New Roman" w:hAnsi="Times New Roman" w:eastAsia="华文中宋"/>
          <w:b/>
          <w:bCs/>
          <w:kern w:val="0"/>
          <w:sz w:val="28"/>
          <w:szCs w:val="28"/>
        </w:rPr>
        <w:t>2016</w:t>
      </w:r>
      <w:r>
        <w:rPr>
          <w:rFonts w:ascii="Times New Roman" w:hAnsi="华文中宋" w:eastAsia="华文中宋"/>
          <w:b/>
          <w:bCs/>
          <w:kern w:val="0"/>
          <w:sz w:val="28"/>
          <w:szCs w:val="28"/>
        </w:rPr>
        <w:t>年</w:t>
      </w:r>
      <w:r>
        <w:rPr>
          <w:rFonts w:hint="eastAsia" w:ascii="Times New Roman" w:hAnsi="华文中宋" w:eastAsia="华文中宋"/>
          <w:b/>
          <w:bCs/>
          <w:kern w:val="0"/>
          <w:sz w:val="28"/>
          <w:szCs w:val="28"/>
          <w:lang w:eastAsia="zh-CN"/>
        </w:rPr>
        <w:t>海南省</w:t>
      </w:r>
      <w:r>
        <w:rPr>
          <w:rFonts w:ascii="Times New Roman" w:hAnsi="华文中宋" w:eastAsia="华文中宋"/>
          <w:b/>
          <w:bCs/>
          <w:kern w:val="0"/>
          <w:sz w:val="28"/>
          <w:szCs w:val="28"/>
        </w:rPr>
        <w:t>新能源汽车推广应用</w:t>
      </w:r>
      <w:r>
        <w:rPr>
          <w:rFonts w:hint="eastAsia" w:ascii="Times New Roman" w:hAnsi="华文中宋" w:eastAsia="华文中宋"/>
          <w:b/>
          <w:bCs/>
          <w:kern w:val="0"/>
          <w:sz w:val="28"/>
          <w:szCs w:val="28"/>
          <w:lang w:eastAsia="zh-CN"/>
        </w:rPr>
        <w:t>补贴</w:t>
      </w:r>
      <w:r>
        <w:rPr>
          <w:rFonts w:ascii="Times New Roman" w:hAnsi="华文中宋" w:eastAsia="华文中宋"/>
          <w:b/>
          <w:bCs/>
          <w:kern w:val="0"/>
          <w:sz w:val="28"/>
          <w:szCs w:val="28"/>
        </w:rPr>
        <w:t>标准</w:t>
      </w:r>
    </w:p>
    <w:p>
      <w:pPr>
        <w:widowControl/>
        <w:shd w:val="clear" w:color="auto" w:fill="FFFFFF"/>
        <w:spacing w:after="156" w:afterLines="50" w:line="580" w:lineRule="exact"/>
        <w:jc w:val="center"/>
        <w:rPr>
          <w:rFonts w:hint="eastAsia" w:ascii="Times New Roman" w:hAnsi="华文中宋" w:eastAsia="华文中宋"/>
          <w:b/>
          <w:bCs/>
          <w:kern w:val="0"/>
          <w:sz w:val="28"/>
          <w:szCs w:val="28"/>
          <w:lang w:eastAsia="zh-CN"/>
        </w:rPr>
      </w:pPr>
      <w:r>
        <w:rPr>
          <w:rFonts w:hint="eastAsia" w:ascii="Times New Roman" w:hAnsi="华文中宋" w:eastAsia="华文中宋"/>
          <w:b/>
          <w:bCs/>
          <w:kern w:val="0"/>
          <w:sz w:val="28"/>
          <w:szCs w:val="28"/>
          <w:lang w:eastAsia="zh-CN"/>
        </w:rPr>
        <w:t>及补贴核算方法</w:t>
      </w:r>
    </w:p>
    <w:p>
      <w:pPr>
        <w:ind w:left="0" w:leftChars="0" w:right="0" w:firstLine="0" w:firstLineChars="0"/>
        <w:jc w:val="left"/>
        <w:rPr>
          <w:rFonts w:hint="eastAsia" w:ascii="黑体" w:hAnsi="黑体" w:eastAsia="黑体" w:cs="黑体"/>
          <w:sz w:val="28"/>
          <w:szCs w:val="28"/>
          <w:lang w:val="en-US" w:eastAsia="zh-CN"/>
        </w:rPr>
      </w:pPr>
      <w:r>
        <w:rPr>
          <w:rFonts w:hint="eastAsia" w:ascii="黑体" w:hAnsi="黑体" w:eastAsia="黑体" w:cs="黑体"/>
          <w:sz w:val="28"/>
          <w:szCs w:val="28"/>
          <w:lang w:val="en-US" w:eastAsia="zh-CN"/>
        </w:rPr>
        <w:t>一、2016年海南省新能源汽车补贴标准</w:t>
      </w:r>
    </w:p>
    <w:p>
      <w:pPr>
        <w:pStyle w:val="6"/>
        <w:widowControl/>
        <w:numPr>
          <w:ilvl w:val="0"/>
          <w:numId w:val="0"/>
        </w:numPr>
        <w:spacing w:line="520" w:lineRule="exact"/>
        <w:ind w:leftChars="0"/>
        <w:rPr>
          <w:rFonts w:ascii="Times New Roman" w:hAnsi="Times New Roman" w:eastAsia="仿宋_GB2312"/>
          <w:b/>
          <w:kern w:val="0"/>
          <w:sz w:val="28"/>
          <w:szCs w:val="28"/>
        </w:rPr>
      </w:pPr>
      <w:r>
        <w:rPr>
          <w:rFonts w:hint="eastAsia" w:ascii="Times New Roman" w:hAnsi="Times New Roman" w:eastAsia="仿宋_GB2312"/>
          <w:b/>
          <w:kern w:val="0"/>
          <w:sz w:val="28"/>
          <w:szCs w:val="28"/>
          <w:lang w:eastAsia="zh-CN"/>
        </w:rPr>
        <w:t>（一）</w:t>
      </w:r>
      <w:r>
        <w:rPr>
          <w:rFonts w:ascii="Times New Roman" w:hAnsi="Times New Roman" w:eastAsia="仿宋_GB2312"/>
          <w:b/>
          <w:kern w:val="0"/>
          <w:sz w:val="28"/>
          <w:szCs w:val="28"/>
        </w:rPr>
        <w:t>纯电动乘用车、插电式混合动力（含增程式）乘用车推广应用补助标准（单位：万元/辆）</w:t>
      </w:r>
    </w:p>
    <w:tbl>
      <w:tblPr>
        <w:tblStyle w:val="4"/>
        <w:tblW w:w="93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22"/>
        <w:gridCol w:w="1871"/>
        <w:gridCol w:w="1758"/>
        <w:gridCol w:w="1605"/>
        <w:gridCol w:w="15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622" w:type="dxa"/>
            <w:vMerge w:val="restart"/>
            <w:shd w:val="clear" w:color="auto" w:fill="FFFFFF"/>
            <w:noWrap w:val="0"/>
            <w:vAlign w:val="center"/>
          </w:tcPr>
          <w:p>
            <w:pPr>
              <w:widowControl/>
              <w:shd w:val="clear" w:color="auto" w:fill="FFFFFF"/>
              <w:jc w:val="center"/>
              <w:rPr>
                <w:rFonts w:ascii="Times New Roman" w:hAnsi="Times New Roman" w:eastAsia="仿宋_GB2312"/>
                <w:b w:val="0"/>
                <w:bCs w:val="0"/>
                <w:kern w:val="0"/>
                <w:sz w:val="24"/>
                <w:szCs w:val="24"/>
              </w:rPr>
            </w:pPr>
            <w:r>
              <w:rPr>
                <w:rFonts w:ascii="Times New Roman" w:hAnsi="Times New Roman" w:eastAsia="仿宋_GB2312"/>
                <w:b w:val="0"/>
                <w:bCs w:val="0"/>
                <w:kern w:val="0"/>
                <w:sz w:val="24"/>
                <w:szCs w:val="24"/>
              </w:rPr>
              <w:t>车辆类型</w:t>
            </w:r>
          </w:p>
        </w:tc>
        <w:tc>
          <w:tcPr>
            <w:tcW w:w="6758" w:type="dxa"/>
            <w:gridSpan w:val="4"/>
            <w:shd w:val="clear" w:color="auto" w:fill="FFFFFF"/>
            <w:noWrap w:val="0"/>
            <w:vAlign w:val="center"/>
          </w:tcPr>
          <w:p>
            <w:pPr>
              <w:widowControl/>
              <w:shd w:val="clear" w:color="auto" w:fill="FFFFFF"/>
              <w:jc w:val="center"/>
              <w:rPr>
                <w:rFonts w:ascii="Times New Roman" w:hAnsi="Times New Roman" w:eastAsia="仿宋_GB2312"/>
                <w:b w:val="0"/>
                <w:bCs w:val="0"/>
                <w:kern w:val="0"/>
                <w:sz w:val="24"/>
                <w:szCs w:val="24"/>
              </w:rPr>
            </w:pPr>
            <w:r>
              <w:rPr>
                <w:rFonts w:ascii="Times New Roman" w:hAnsi="Times New Roman" w:eastAsia="仿宋_GB2312"/>
                <w:b w:val="0"/>
                <w:bCs w:val="0"/>
                <w:kern w:val="0"/>
                <w:sz w:val="24"/>
                <w:szCs w:val="24"/>
              </w:rPr>
              <w:t>纯电</w:t>
            </w:r>
            <w:r>
              <w:rPr>
                <w:rFonts w:hint="eastAsia" w:ascii="Times New Roman" w:hAnsi="Times New Roman" w:eastAsia="仿宋_GB2312"/>
                <w:b w:val="0"/>
                <w:bCs w:val="0"/>
                <w:kern w:val="0"/>
                <w:sz w:val="24"/>
                <w:szCs w:val="24"/>
              </w:rPr>
              <w:t>动</w:t>
            </w:r>
            <w:r>
              <w:rPr>
                <w:rFonts w:ascii="Times New Roman" w:hAnsi="Times New Roman" w:eastAsia="仿宋_GB2312"/>
                <w:b w:val="0"/>
                <w:bCs w:val="0"/>
                <w:kern w:val="0"/>
                <w:sz w:val="24"/>
                <w:szCs w:val="24"/>
              </w:rPr>
              <w:t>续驶里程R(工况法、公里)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atLeast"/>
          <w:jc w:val="center"/>
        </w:trPr>
        <w:tc>
          <w:tcPr>
            <w:tcW w:w="2622" w:type="dxa"/>
            <w:vMerge w:val="continue"/>
            <w:shd w:val="clear" w:color="auto" w:fill="auto"/>
            <w:noWrap w:val="0"/>
            <w:vAlign w:val="center"/>
          </w:tcPr>
          <w:p>
            <w:pPr>
              <w:widowControl/>
              <w:jc w:val="center"/>
              <w:rPr>
                <w:rFonts w:ascii="Times New Roman" w:hAnsi="Times New Roman" w:eastAsia="仿宋_GB2312"/>
                <w:kern w:val="0"/>
                <w:sz w:val="24"/>
                <w:szCs w:val="24"/>
              </w:rPr>
            </w:pPr>
          </w:p>
        </w:tc>
        <w:tc>
          <w:tcPr>
            <w:tcW w:w="1871"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100≤R＜150</w:t>
            </w:r>
          </w:p>
        </w:tc>
        <w:tc>
          <w:tcPr>
            <w:tcW w:w="1758"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150≤R＜250</w:t>
            </w:r>
          </w:p>
        </w:tc>
        <w:tc>
          <w:tcPr>
            <w:tcW w:w="1605"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R≥250</w:t>
            </w:r>
          </w:p>
        </w:tc>
        <w:tc>
          <w:tcPr>
            <w:tcW w:w="1524"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R≥50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jc w:val="center"/>
        </w:trPr>
        <w:tc>
          <w:tcPr>
            <w:tcW w:w="2622"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纯电动乘用车</w:t>
            </w:r>
          </w:p>
        </w:tc>
        <w:tc>
          <w:tcPr>
            <w:tcW w:w="1871"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2.5</w:t>
            </w:r>
          </w:p>
        </w:tc>
        <w:tc>
          <w:tcPr>
            <w:tcW w:w="1758"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4.5</w:t>
            </w:r>
          </w:p>
        </w:tc>
        <w:tc>
          <w:tcPr>
            <w:tcW w:w="1605"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5.5</w:t>
            </w:r>
          </w:p>
        </w:tc>
        <w:tc>
          <w:tcPr>
            <w:tcW w:w="1524"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8" w:hRule="atLeast"/>
          <w:jc w:val="center"/>
        </w:trPr>
        <w:tc>
          <w:tcPr>
            <w:tcW w:w="2622"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插电式混合动力乘用车（含增程式）</w:t>
            </w:r>
          </w:p>
        </w:tc>
        <w:tc>
          <w:tcPr>
            <w:tcW w:w="1871"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758"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605"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w:t>
            </w:r>
          </w:p>
        </w:tc>
        <w:tc>
          <w:tcPr>
            <w:tcW w:w="1524" w:type="dxa"/>
            <w:shd w:val="clear" w:color="auto" w:fill="FFFFFF"/>
            <w:noWrap w:val="0"/>
            <w:vAlign w:val="center"/>
          </w:tcPr>
          <w:p>
            <w:pPr>
              <w:widowControl/>
              <w:shd w:val="clear" w:color="auto" w:fill="FFFFFF"/>
              <w:jc w:val="center"/>
              <w:rPr>
                <w:rFonts w:ascii="Times New Roman" w:hAnsi="Times New Roman" w:eastAsia="仿宋_GB2312"/>
                <w:kern w:val="0"/>
                <w:sz w:val="24"/>
                <w:szCs w:val="24"/>
              </w:rPr>
            </w:pPr>
            <w:r>
              <w:rPr>
                <w:rFonts w:ascii="Times New Roman" w:hAnsi="Times New Roman" w:eastAsia="仿宋_GB2312"/>
                <w:kern w:val="0"/>
                <w:sz w:val="24"/>
                <w:szCs w:val="24"/>
              </w:rPr>
              <w:t>3</w:t>
            </w:r>
          </w:p>
        </w:tc>
      </w:tr>
    </w:tbl>
    <w:p>
      <w:pPr>
        <w:pStyle w:val="6"/>
        <w:widowControl/>
        <w:numPr>
          <w:ilvl w:val="0"/>
          <w:numId w:val="0"/>
        </w:numPr>
        <w:spacing w:line="520" w:lineRule="exact"/>
        <w:ind w:leftChars="0"/>
        <w:rPr>
          <w:rFonts w:ascii="Times New Roman" w:hAnsi="Times New Roman" w:eastAsia="仿宋_GB2312"/>
          <w:b/>
          <w:kern w:val="0"/>
          <w:sz w:val="28"/>
          <w:szCs w:val="28"/>
        </w:rPr>
      </w:pPr>
      <w:r>
        <w:rPr>
          <w:rFonts w:hint="eastAsia" w:ascii="Times New Roman" w:hAnsi="Times New Roman" w:eastAsia="仿宋_GB2312"/>
          <w:b/>
          <w:kern w:val="0"/>
          <w:sz w:val="28"/>
          <w:szCs w:val="28"/>
          <w:lang w:eastAsia="zh-CN"/>
        </w:rPr>
        <w:t>（二）</w:t>
      </w:r>
      <w:r>
        <w:rPr>
          <w:rFonts w:ascii="Times New Roman" w:hAnsi="Times New Roman" w:eastAsia="仿宋_GB2312"/>
          <w:b/>
          <w:kern w:val="0"/>
          <w:sz w:val="28"/>
          <w:szCs w:val="28"/>
        </w:rPr>
        <w:t>纯电动、插电式混合动力等客车推广应用补助标准（单位：万元/辆）</w:t>
      </w:r>
    </w:p>
    <w:tbl>
      <w:tblPr>
        <w:tblStyle w:val="4"/>
        <w:tblW w:w="10590" w:type="dxa"/>
        <w:tblInd w:w="-5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1932"/>
        <w:gridCol w:w="1143"/>
        <w:gridCol w:w="1455"/>
        <w:gridCol w:w="1380"/>
        <w:gridCol w:w="1335"/>
        <w:gridCol w:w="138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9" w:hRule="atLeast"/>
        </w:trPr>
        <w:tc>
          <w:tcPr>
            <w:tcW w:w="945" w:type="dxa"/>
            <w:vMerge w:val="restart"/>
            <w:shd w:val="clear" w:color="auto" w:fill="auto"/>
            <w:noWrap w:val="0"/>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车辆类型</w:t>
            </w:r>
          </w:p>
        </w:tc>
        <w:tc>
          <w:tcPr>
            <w:tcW w:w="1932" w:type="dxa"/>
            <w:vMerge w:val="restart"/>
            <w:shd w:val="clear" w:color="auto" w:fill="auto"/>
            <w:noWrap w:val="0"/>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单位载质量能量消耗量（E</w:t>
            </w:r>
            <w:r>
              <w:rPr>
                <w:rFonts w:ascii="Times New Roman" w:hAnsi="Times New Roman" w:eastAsia="仿宋_GB2312"/>
                <w:b w:val="0"/>
                <w:bCs w:val="0"/>
                <w:color w:val="000000"/>
                <w:kern w:val="0"/>
                <w:sz w:val="24"/>
                <w:szCs w:val="24"/>
                <w:vertAlign w:val="subscript"/>
              </w:rPr>
              <w:t>kg</w:t>
            </w:r>
            <w:r>
              <w:rPr>
                <w:rFonts w:ascii="Times New Roman" w:hAnsi="Times New Roman" w:eastAsia="仿宋_GB2312"/>
                <w:b w:val="0"/>
                <w:bCs w:val="0"/>
                <w:color w:val="000000"/>
                <w:kern w:val="0"/>
                <w:sz w:val="24"/>
                <w:szCs w:val="24"/>
              </w:rPr>
              <w:t>，Wh/km·kg）</w:t>
            </w:r>
          </w:p>
        </w:tc>
        <w:tc>
          <w:tcPr>
            <w:tcW w:w="7713" w:type="dxa"/>
            <w:gridSpan w:val="6"/>
            <w:shd w:val="clear" w:color="auto" w:fill="auto"/>
            <w:noWrap w:val="0"/>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标准车（10米＜车长≤12米）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45" w:type="dxa"/>
            <w:vMerge w:val="continue"/>
            <w:shd w:val="clear" w:color="auto" w:fill="auto"/>
            <w:noWrap w:val="0"/>
            <w:vAlign w:val="center"/>
          </w:tcPr>
          <w:p>
            <w:pPr>
              <w:widowControl/>
              <w:jc w:val="left"/>
              <w:rPr>
                <w:rFonts w:ascii="Times New Roman" w:hAnsi="Times New Roman" w:eastAsia="仿宋_GB2312"/>
                <w:b w:val="0"/>
                <w:bCs w:val="0"/>
                <w:color w:val="000000"/>
                <w:kern w:val="0"/>
                <w:sz w:val="24"/>
                <w:szCs w:val="24"/>
              </w:rPr>
            </w:pPr>
          </w:p>
        </w:tc>
        <w:tc>
          <w:tcPr>
            <w:tcW w:w="1932" w:type="dxa"/>
            <w:vMerge w:val="continue"/>
            <w:shd w:val="clear" w:color="auto" w:fill="auto"/>
            <w:noWrap w:val="0"/>
            <w:vAlign w:val="center"/>
          </w:tcPr>
          <w:p>
            <w:pPr>
              <w:widowControl/>
              <w:jc w:val="left"/>
              <w:rPr>
                <w:rFonts w:ascii="Times New Roman" w:hAnsi="Times New Roman" w:eastAsia="仿宋_GB2312"/>
                <w:b w:val="0"/>
                <w:bCs w:val="0"/>
                <w:color w:val="000000"/>
                <w:kern w:val="0"/>
                <w:sz w:val="24"/>
                <w:szCs w:val="24"/>
              </w:rPr>
            </w:pPr>
          </w:p>
        </w:tc>
        <w:tc>
          <w:tcPr>
            <w:tcW w:w="7713" w:type="dxa"/>
            <w:gridSpan w:val="6"/>
            <w:shd w:val="clear" w:color="auto" w:fill="auto"/>
            <w:noWrap w:val="0"/>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纯电</w:t>
            </w:r>
            <w:r>
              <w:rPr>
                <w:rFonts w:hint="eastAsia" w:ascii="Times New Roman" w:hAnsi="Times New Roman" w:eastAsia="仿宋_GB2312"/>
                <w:b w:val="0"/>
                <w:bCs w:val="0"/>
                <w:color w:val="000000"/>
                <w:kern w:val="0"/>
                <w:sz w:val="24"/>
                <w:szCs w:val="24"/>
              </w:rPr>
              <w:t>动</w:t>
            </w:r>
            <w:r>
              <w:rPr>
                <w:rFonts w:ascii="Times New Roman" w:hAnsi="Times New Roman" w:eastAsia="仿宋_GB2312"/>
                <w:b w:val="0"/>
                <w:bCs w:val="0"/>
                <w:color w:val="000000"/>
                <w:kern w:val="0"/>
                <w:sz w:val="24"/>
                <w:szCs w:val="24"/>
              </w:rPr>
              <w:t>续驶里程</w:t>
            </w:r>
            <w:r>
              <w:rPr>
                <w:rFonts w:hint="eastAsia" w:ascii="Times New Roman" w:hAnsi="Times New Roman" w:eastAsia="仿宋_GB2312"/>
                <w:b w:val="0"/>
                <w:bCs w:val="0"/>
                <w:color w:val="000000"/>
                <w:kern w:val="0"/>
                <w:sz w:val="24"/>
                <w:szCs w:val="24"/>
              </w:rPr>
              <w:t>R</w:t>
            </w:r>
            <w:r>
              <w:rPr>
                <w:rFonts w:ascii="Times New Roman" w:hAnsi="Times New Roman" w:eastAsia="仿宋_GB2312"/>
                <w:b w:val="0"/>
                <w:bCs w:val="0"/>
                <w:color w:val="000000"/>
                <w:kern w:val="0"/>
                <w:sz w:val="24"/>
                <w:szCs w:val="24"/>
              </w:rPr>
              <w:t>（</w:t>
            </w:r>
            <w:r>
              <w:rPr>
                <w:rFonts w:hint="eastAsia" w:ascii="Times New Roman" w:hAnsi="Times New Roman" w:eastAsia="仿宋_GB2312"/>
                <w:b w:val="0"/>
                <w:bCs w:val="0"/>
                <w:color w:val="000000"/>
                <w:kern w:val="0"/>
                <w:sz w:val="24"/>
                <w:szCs w:val="24"/>
              </w:rPr>
              <w:t>等速法、</w:t>
            </w:r>
            <w:r>
              <w:rPr>
                <w:rFonts w:ascii="Times New Roman" w:hAnsi="Times New Roman" w:eastAsia="仿宋_GB2312"/>
                <w:b w:val="0"/>
                <w:bCs w:val="0"/>
                <w:color w:val="000000"/>
                <w:kern w:val="0"/>
                <w:sz w:val="24"/>
                <w:szCs w:val="24"/>
              </w:rPr>
              <w:t>公里）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0" w:hRule="atLeast"/>
        </w:trPr>
        <w:tc>
          <w:tcPr>
            <w:tcW w:w="945" w:type="dxa"/>
            <w:vMerge w:val="continue"/>
            <w:shd w:val="clear" w:color="auto" w:fill="auto"/>
            <w:noWrap w:val="0"/>
            <w:vAlign w:val="center"/>
          </w:tcPr>
          <w:p>
            <w:pPr>
              <w:widowControl/>
              <w:jc w:val="left"/>
              <w:rPr>
                <w:rFonts w:ascii="Times New Roman" w:hAnsi="Times New Roman" w:eastAsia="仿宋_GB2312"/>
                <w:b w:val="0"/>
                <w:bCs w:val="0"/>
                <w:color w:val="000000"/>
                <w:kern w:val="0"/>
                <w:sz w:val="24"/>
                <w:szCs w:val="24"/>
              </w:rPr>
            </w:pPr>
          </w:p>
        </w:tc>
        <w:tc>
          <w:tcPr>
            <w:tcW w:w="1932" w:type="dxa"/>
            <w:vMerge w:val="continue"/>
            <w:shd w:val="clear" w:color="auto" w:fill="auto"/>
            <w:noWrap w:val="0"/>
            <w:vAlign w:val="center"/>
          </w:tcPr>
          <w:p>
            <w:pPr>
              <w:widowControl/>
              <w:jc w:val="left"/>
              <w:rPr>
                <w:rFonts w:ascii="Times New Roman" w:hAnsi="Times New Roman" w:eastAsia="仿宋_GB2312"/>
                <w:b w:val="0"/>
                <w:bCs w:val="0"/>
                <w:color w:val="000000"/>
                <w:kern w:val="0"/>
                <w:sz w:val="24"/>
                <w:szCs w:val="24"/>
              </w:rPr>
            </w:pPr>
          </w:p>
        </w:tc>
        <w:tc>
          <w:tcPr>
            <w:tcW w:w="1143" w:type="dxa"/>
            <w:shd w:val="clear" w:color="auto" w:fill="auto"/>
            <w:noWrap w:val="0"/>
            <w:vAlign w:val="center"/>
          </w:tcPr>
          <w:p>
            <w:pPr>
              <w:widowControl/>
              <w:jc w:val="center"/>
              <w:rPr>
                <w:rFonts w:ascii="Times New Roman" w:hAnsi="Times New Roman" w:eastAsia="仿宋_GB2312"/>
                <w:b w:val="0"/>
                <w:bCs w:val="0"/>
                <w:color w:val="000000"/>
                <w:kern w:val="0"/>
                <w:sz w:val="24"/>
                <w:szCs w:val="24"/>
              </w:rPr>
            </w:pPr>
            <w:r>
              <w:rPr>
                <w:rFonts w:hint="eastAsia" w:ascii="Times New Roman" w:hAnsi="Times New Roman" w:eastAsia="仿宋_GB2312"/>
                <w:b w:val="0"/>
                <w:bCs w:val="0"/>
                <w:color w:val="000000"/>
                <w:kern w:val="0"/>
                <w:sz w:val="24"/>
                <w:szCs w:val="24"/>
              </w:rPr>
              <w:t>6</w:t>
            </w:r>
            <w:r>
              <w:rPr>
                <w:rFonts w:ascii="Times New Roman" w:hAnsi="Times New Roman" w:eastAsia="仿宋_GB2312"/>
                <w:b w:val="0"/>
                <w:bCs w:val="0"/>
                <w:color w:val="000000"/>
                <w:kern w:val="0"/>
                <w:sz w:val="24"/>
                <w:szCs w:val="24"/>
              </w:rPr>
              <w:t>≤R＜20</w:t>
            </w:r>
          </w:p>
        </w:tc>
        <w:tc>
          <w:tcPr>
            <w:tcW w:w="1455" w:type="dxa"/>
            <w:shd w:val="clear" w:color="auto" w:fill="auto"/>
            <w:noWrap w:val="0"/>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20≤R＜50</w:t>
            </w:r>
          </w:p>
        </w:tc>
        <w:tc>
          <w:tcPr>
            <w:tcW w:w="1380" w:type="dxa"/>
            <w:shd w:val="clear" w:color="auto" w:fill="auto"/>
            <w:noWrap w:val="0"/>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50≤R＜100</w:t>
            </w:r>
          </w:p>
        </w:tc>
        <w:tc>
          <w:tcPr>
            <w:tcW w:w="1335" w:type="dxa"/>
            <w:shd w:val="clear" w:color="auto" w:fill="auto"/>
            <w:noWrap/>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100≤R＜150</w:t>
            </w:r>
          </w:p>
        </w:tc>
        <w:tc>
          <w:tcPr>
            <w:tcW w:w="1380" w:type="dxa"/>
            <w:shd w:val="clear" w:color="auto" w:fill="auto"/>
            <w:noWrap/>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150≤R＜250</w:t>
            </w:r>
          </w:p>
        </w:tc>
        <w:tc>
          <w:tcPr>
            <w:tcW w:w="1020" w:type="dxa"/>
            <w:shd w:val="clear" w:color="auto" w:fill="auto"/>
            <w:noWrap/>
            <w:vAlign w:val="center"/>
          </w:tcPr>
          <w:p>
            <w:pPr>
              <w:widowControl/>
              <w:jc w:val="center"/>
              <w:rPr>
                <w:rFonts w:ascii="Times New Roman" w:hAnsi="Times New Roman" w:eastAsia="仿宋_GB2312"/>
                <w:b w:val="0"/>
                <w:bCs w:val="0"/>
                <w:color w:val="000000"/>
                <w:kern w:val="0"/>
                <w:sz w:val="24"/>
                <w:szCs w:val="24"/>
              </w:rPr>
            </w:pPr>
            <w:r>
              <w:rPr>
                <w:rFonts w:ascii="Times New Roman" w:hAnsi="Times New Roman" w:eastAsia="仿宋_GB2312"/>
                <w:b w:val="0"/>
                <w:bCs w:val="0"/>
                <w:color w:val="000000"/>
                <w:kern w:val="0"/>
                <w:sz w:val="24"/>
                <w:szCs w:val="24"/>
              </w:rPr>
              <w:t>R≥250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45" w:type="dxa"/>
            <w:vMerge w:val="restart"/>
            <w:shd w:val="clear" w:color="auto" w:fill="auto"/>
            <w:noWrap w:val="0"/>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纯电动客车</w:t>
            </w:r>
          </w:p>
        </w:tc>
        <w:tc>
          <w:tcPr>
            <w:tcW w:w="1932" w:type="dxa"/>
            <w:shd w:val="clear" w:color="auto" w:fill="auto"/>
            <w:noWrap w:val="0"/>
            <w:vAlign w:val="center"/>
          </w:tcPr>
          <w:p>
            <w:pPr>
              <w:widowControl/>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E</w:t>
            </w:r>
            <w:r>
              <w:rPr>
                <w:rFonts w:ascii="Times New Roman" w:hAnsi="Times New Roman" w:eastAsia="仿宋_GB2312"/>
                <w:color w:val="000000"/>
                <w:kern w:val="0"/>
                <w:sz w:val="24"/>
                <w:szCs w:val="24"/>
                <w:vertAlign w:val="subscript"/>
              </w:rPr>
              <w:t>kg</w:t>
            </w:r>
            <w:r>
              <w:rPr>
                <w:rFonts w:ascii="Times New Roman" w:hAnsi="Times New Roman" w:eastAsia="仿宋_GB2312"/>
                <w:color w:val="000000"/>
                <w:kern w:val="0"/>
                <w:sz w:val="24"/>
                <w:szCs w:val="24"/>
              </w:rPr>
              <w:t>&lt;0.</w:t>
            </w:r>
            <w:r>
              <w:rPr>
                <w:rFonts w:hint="eastAsia" w:ascii="Times New Roman" w:hAnsi="Times New Roman" w:eastAsia="仿宋_GB2312"/>
                <w:color w:val="000000"/>
                <w:kern w:val="0"/>
                <w:sz w:val="24"/>
                <w:szCs w:val="24"/>
              </w:rPr>
              <w:t>25</w:t>
            </w:r>
          </w:p>
        </w:tc>
        <w:tc>
          <w:tcPr>
            <w:tcW w:w="1143"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22</w:t>
            </w:r>
          </w:p>
        </w:tc>
        <w:tc>
          <w:tcPr>
            <w:tcW w:w="1455"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26</w:t>
            </w:r>
          </w:p>
        </w:tc>
        <w:tc>
          <w:tcPr>
            <w:tcW w:w="1380"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30</w:t>
            </w:r>
          </w:p>
        </w:tc>
        <w:tc>
          <w:tcPr>
            <w:tcW w:w="1335"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35</w:t>
            </w:r>
          </w:p>
        </w:tc>
        <w:tc>
          <w:tcPr>
            <w:tcW w:w="138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42</w:t>
            </w:r>
          </w:p>
        </w:tc>
        <w:tc>
          <w:tcPr>
            <w:tcW w:w="102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45" w:type="dxa"/>
            <w:vMerge w:val="continue"/>
            <w:shd w:val="clear" w:color="auto" w:fill="auto"/>
            <w:noWrap w:val="0"/>
            <w:vAlign w:val="center"/>
          </w:tcPr>
          <w:p>
            <w:pPr>
              <w:widowControl/>
              <w:jc w:val="left"/>
              <w:rPr>
                <w:rFonts w:ascii="Times New Roman" w:hAnsi="Times New Roman" w:eastAsia="仿宋_GB2312"/>
                <w:color w:val="000000"/>
                <w:kern w:val="0"/>
                <w:sz w:val="24"/>
                <w:szCs w:val="24"/>
              </w:rPr>
            </w:pPr>
          </w:p>
        </w:tc>
        <w:tc>
          <w:tcPr>
            <w:tcW w:w="1932" w:type="dxa"/>
            <w:shd w:val="clear" w:color="auto" w:fill="auto"/>
            <w:noWrap w:val="0"/>
            <w:vAlign w:val="top"/>
          </w:tcPr>
          <w:p>
            <w:pPr>
              <w:widowControl/>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r>
              <w:rPr>
                <w:rFonts w:hint="eastAsia" w:ascii="Times New Roman" w:hAnsi="Times New Roman" w:eastAsia="仿宋_GB2312"/>
                <w:color w:val="000000"/>
                <w:kern w:val="0"/>
                <w:sz w:val="24"/>
                <w:szCs w:val="24"/>
              </w:rPr>
              <w:t>25</w:t>
            </w:r>
            <w:r>
              <w:rPr>
                <w:rFonts w:ascii="Times New Roman" w:hAnsi="Times New Roman" w:eastAsia="仿宋_GB2312"/>
                <w:color w:val="000000"/>
                <w:kern w:val="0"/>
                <w:sz w:val="24"/>
                <w:szCs w:val="24"/>
              </w:rPr>
              <w:t>≤E</w:t>
            </w:r>
            <w:r>
              <w:rPr>
                <w:rFonts w:ascii="Times New Roman" w:hAnsi="Times New Roman" w:eastAsia="仿宋_GB2312"/>
                <w:color w:val="000000"/>
                <w:kern w:val="0"/>
                <w:sz w:val="24"/>
                <w:szCs w:val="24"/>
                <w:vertAlign w:val="subscript"/>
              </w:rPr>
              <w:t>kg</w:t>
            </w:r>
            <w:r>
              <w:rPr>
                <w:rFonts w:ascii="Times New Roman" w:hAnsi="Times New Roman" w:eastAsia="仿宋_GB2312"/>
                <w:color w:val="000000"/>
                <w:kern w:val="0"/>
                <w:sz w:val="24"/>
                <w:szCs w:val="24"/>
              </w:rPr>
              <w:t>&lt;0.</w:t>
            </w:r>
            <w:r>
              <w:rPr>
                <w:rFonts w:hint="eastAsia" w:ascii="Times New Roman" w:hAnsi="Times New Roman" w:eastAsia="仿宋_GB2312"/>
                <w:color w:val="000000"/>
                <w:kern w:val="0"/>
                <w:sz w:val="24"/>
                <w:szCs w:val="24"/>
              </w:rPr>
              <w:t>35</w:t>
            </w:r>
          </w:p>
        </w:tc>
        <w:tc>
          <w:tcPr>
            <w:tcW w:w="1143"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20</w:t>
            </w:r>
          </w:p>
        </w:tc>
        <w:tc>
          <w:tcPr>
            <w:tcW w:w="1455"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24</w:t>
            </w:r>
          </w:p>
        </w:tc>
        <w:tc>
          <w:tcPr>
            <w:tcW w:w="1380"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28</w:t>
            </w:r>
          </w:p>
        </w:tc>
        <w:tc>
          <w:tcPr>
            <w:tcW w:w="1335"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32</w:t>
            </w:r>
          </w:p>
        </w:tc>
        <w:tc>
          <w:tcPr>
            <w:tcW w:w="138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38</w:t>
            </w:r>
          </w:p>
        </w:tc>
        <w:tc>
          <w:tcPr>
            <w:tcW w:w="102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45" w:type="dxa"/>
            <w:vMerge w:val="continue"/>
            <w:shd w:val="clear" w:color="auto" w:fill="auto"/>
            <w:noWrap w:val="0"/>
            <w:vAlign w:val="center"/>
          </w:tcPr>
          <w:p>
            <w:pPr>
              <w:widowControl/>
              <w:jc w:val="left"/>
              <w:rPr>
                <w:rFonts w:ascii="Times New Roman" w:hAnsi="Times New Roman" w:eastAsia="仿宋_GB2312"/>
                <w:color w:val="000000"/>
                <w:kern w:val="0"/>
                <w:sz w:val="24"/>
                <w:szCs w:val="24"/>
              </w:rPr>
            </w:pPr>
          </w:p>
        </w:tc>
        <w:tc>
          <w:tcPr>
            <w:tcW w:w="1932" w:type="dxa"/>
            <w:shd w:val="clear" w:color="auto" w:fill="auto"/>
            <w:noWrap w:val="0"/>
            <w:vAlign w:val="top"/>
          </w:tcPr>
          <w:p>
            <w:pPr>
              <w:widowControl/>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w:t>
            </w:r>
            <w:r>
              <w:rPr>
                <w:rFonts w:hint="eastAsia" w:ascii="Times New Roman" w:hAnsi="Times New Roman" w:eastAsia="仿宋_GB2312"/>
                <w:color w:val="000000"/>
                <w:kern w:val="0"/>
                <w:sz w:val="24"/>
                <w:szCs w:val="24"/>
              </w:rPr>
              <w:t>35</w:t>
            </w:r>
            <w:r>
              <w:rPr>
                <w:rFonts w:ascii="Times New Roman" w:hAnsi="Times New Roman" w:eastAsia="仿宋_GB2312"/>
                <w:color w:val="000000"/>
                <w:kern w:val="0"/>
                <w:sz w:val="24"/>
                <w:szCs w:val="24"/>
              </w:rPr>
              <w:t>≤E</w:t>
            </w:r>
            <w:r>
              <w:rPr>
                <w:rFonts w:ascii="Times New Roman" w:hAnsi="Times New Roman" w:eastAsia="仿宋_GB2312"/>
                <w:color w:val="000000"/>
                <w:kern w:val="0"/>
                <w:sz w:val="24"/>
                <w:szCs w:val="24"/>
                <w:vertAlign w:val="subscript"/>
              </w:rPr>
              <w:t>kg</w:t>
            </w:r>
            <w:r>
              <w:rPr>
                <w:rFonts w:ascii="Times New Roman" w:hAnsi="Times New Roman" w:eastAsia="仿宋_GB2312"/>
                <w:color w:val="000000"/>
                <w:kern w:val="0"/>
                <w:sz w:val="24"/>
                <w:szCs w:val="24"/>
              </w:rPr>
              <w:t>&lt;0.5</w:t>
            </w:r>
          </w:p>
        </w:tc>
        <w:tc>
          <w:tcPr>
            <w:tcW w:w="1143"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18</w:t>
            </w:r>
          </w:p>
        </w:tc>
        <w:tc>
          <w:tcPr>
            <w:tcW w:w="1455"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22</w:t>
            </w:r>
          </w:p>
        </w:tc>
        <w:tc>
          <w:tcPr>
            <w:tcW w:w="1380"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24</w:t>
            </w:r>
          </w:p>
        </w:tc>
        <w:tc>
          <w:tcPr>
            <w:tcW w:w="1335"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28</w:t>
            </w:r>
          </w:p>
        </w:tc>
        <w:tc>
          <w:tcPr>
            <w:tcW w:w="138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34</w:t>
            </w:r>
          </w:p>
        </w:tc>
        <w:tc>
          <w:tcPr>
            <w:tcW w:w="102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45" w:type="dxa"/>
            <w:vMerge w:val="continue"/>
            <w:shd w:val="clear" w:color="auto" w:fill="auto"/>
            <w:noWrap w:val="0"/>
            <w:vAlign w:val="center"/>
          </w:tcPr>
          <w:p>
            <w:pPr>
              <w:widowControl/>
              <w:jc w:val="left"/>
              <w:rPr>
                <w:rFonts w:ascii="Times New Roman" w:hAnsi="Times New Roman" w:eastAsia="仿宋_GB2312"/>
                <w:color w:val="000000"/>
                <w:kern w:val="0"/>
                <w:sz w:val="24"/>
                <w:szCs w:val="24"/>
              </w:rPr>
            </w:pPr>
          </w:p>
        </w:tc>
        <w:tc>
          <w:tcPr>
            <w:tcW w:w="1932" w:type="dxa"/>
            <w:shd w:val="clear" w:color="auto" w:fill="auto"/>
            <w:noWrap w:val="0"/>
            <w:vAlign w:val="top"/>
          </w:tcPr>
          <w:p>
            <w:pPr>
              <w:widowControl/>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0.5≤E</w:t>
            </w:r>
            <w:r>
              <w:rPr>
                <w:rFonts w:ascii="Times New Roman" w:hAnsi="Times New Roman" w:eastAsia="仿宋_GB2312"/>
                <w:color w:val="000000"/>
                <w:kern w:val="0"/>
                <w:sz w:val="24"/>
                <w:szCs w:val="24"/>
                <w:vertAlign w:val="subscript"/>
              </w:rPr>
              <w:t>kg</w:t>
            </w:r>
            <w:r>
              <w:rPr>
                <w:rFonts w:ascii="Times New Roman" w:hAnsi="Times New Roman" w:eastAsia="仿宋_GB2312"/>
                <w:color w:val="000000"/>
                <w:kern w:val="0"/>
                <w:sz w:val="24"/>
                <w:szCs w:val="24"/>
              </w:rPr>
              <w:t>&lt;0.6</w:t>
            </w:r>
          </w:p>
        </w:tc>
        <w:tc>
          <w:tcPr>
            <w:tcW w:w="1143"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16</w:t>
            </w:r>
          </w:p>
        </w:tc>
        <w:tc>
          <w:tcPr>
            <w:tcW w:w="1455"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18</w:t>
            </w:r>
          </w:p>
        </w:tc>
        <w:tc>
          <w:tcPr>
            <w:tcW w:w="1380"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20</w:t>
            </w:r>
          </w:p>
        </w:tc>
        <w:tc>
          <w:tcPr>
            <w:tcW w:w="1335"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25</w:t>
            </w:r>
          </w:p>
        </w:tc>
        <w:tc>
          <w:tcPr>
            <w:tcW w:w="138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30</w:t>
            </w:r>
          </w:p>
        </w:tc>
        <w:tc>
          <w:tcPr>
            <w:tcW w:w="102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0" w:hRule="atLeast"/>
        </w:trPr>
        <w:tc>
          <w:tcPr>
            <w:tcW w:w="945" w:type="dxa"/>
            <w:vMerge w:val="continue"/>
            <w:shd w:val="clear" w:color="auto" w:fill="auto"/>
            <w:noWrap w:val="0"/>
            <w:vAlign w:val="center"/>
          </w:tcPr>
          <w:p>
            <w:pPr>
              <w:widowControl/>
              <w:jc w:val="left"/>
              <w:rPr>
                <w:rFonts w:ascii="Times New Roman" w:hAnsi="Times New Roman" w:eastAsia="仿宋_GB2312"/>
                <w:color w:val="000000"/>
                <w:kern w:val="0"/>
                <w:sz w:val="24"/>
                <w:szCs w:val="24"/>
              </w:rPr>
            </w:pPr>
          </w:p>
        </w:tc>
        <w:tc>
          <w:tcPr>
            <w:tcW w:w="1932" w:type="dxa"/>
            <w:shd w:val="clear" w:color="auto" w:fill="auto"/>
            <w:noWrap w:val="0"/>
            <w:vAlign w:val="top"/>
          </w:tcPr>
          <w:p>
            <w:pPr>
              <w:widowControl/>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0.6≤E</w:t>
            </w:r>
            <w:r>
              <w:rPr>
                <w:rFonts w:ascii="Times New Roman" w:hAnsi="Times New Roman" w:eastAsia="仿宋_GB2312"/>
                <w:color w:val="000000"/>
                <w:kern w:val="0"/>
                <w:sz w:val="24"/>
                <w:szCs w:val="24"/>
                <w:vertAlign w:val="subscript"/>
              </w:rPr>
              <w:t>kg</w:t>
            </w:r>
            <w:r>
              <w:rPr>
                <w:rFonts w:ascii="Times New Roman" w:hAnsi="Times New Roman" w:eastAsia="仿宋_GB2312"/>
                <w:color w:val="000000"/>
                <w:kern w:val="0"/>
                <w:sz w:val="24"/>
                <w:szCs w:val="24"/>
              </w:rPr>
              <w:t>&lt;0.7</w:t>
            </w:r>
          </w:p>
        </w:tc>
        <w:tc>
          <w:tcPr>
            <w:tcW w:w="1143"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12</w:t>
            </w:r>
          </w:p>
        </w:tc>
        <w:tc>
          <w:tcPr>
            <w:tcW w:w="1455"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14</w:t>
            </w:r>
          </w:p>
        </w:tc>
        <w:tc>
          <w:tcPr>
            <w:tcW w:w="1380" w:type="dxa"/>
            <w:shd w:val="clear" w:color="auto" w:fill="auto"/>
            <w:noWrap w:val="0"/>
            <w:vAlign w:val="center"/>
          </w:tcPr>
          <w:p>
            <w:pPr>
              <w:jc w:val="center"/>
              <w:rPr>
                <w:rFonts w:ascii="Times New Roman" w:hAnsi="Times New Roman"/>
                <w:color w:val="000000"/>
                <w:sz w:val="24"/>
                <w:szCs w:val="24"/>
              </w:rPr>
            </w:pPr>
            <w:r>
              <w:rPr>
                <w:rFonts w:ascii="Times New Roman" w:hAnsi="Times New Roman"/>
                <w:color w:val="000000"/>
                <w:sz w:val="24"/>
                <w:szCs w:val="24"/>
              </w:rPr>
              <w:t>16</w:t>
            </w:r>
          </w:p>
        </w:tc>
        <w:tc>
          <w:tcPr>
            <w:tcW w:w="1335"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20</w:t>
            </w:r>
          </w:p>
        </w:tc>
        <w:tc>
          <w:tcPr>
            <w:tcW w:w="138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24</w:t>
            </w:r>
          </w:p>
        </w:tc>
        <w:tc>
          <w:tcPr>
            <w:tcW w:w="1020" w:type="dxa"/>
            <w:shd w:val="clear" w:color="auto" w:fill="auto"/>
            <w:noWrap/>
            <w:vAlign w:val="center"/>
          </w:tcPr>
          <w:p>
            <w:pPr>
              <w:jc w:val="center"/>
              <w:rPr>
                <w:rFonts w:ascii="Times New Roman" w:hAnsi="Times New Roman"/>
                <w:color w:val="000000"/>
                <w:sz w:val="24"/>
                <w:szCs w:val="24"/>
              </w:rPr>
            </w:pPr>
            <w:r>
              <w:rPr>
                <w:rFonts w:ascii="Times New Roman" w:hAnsi="Times New Roman"/>
                <w:color w:val="000000"/>
                <w:sz w:val="24"/>
                <w:szCs w:val="24"/>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5" w:hRule="atLeast"/>
        </w:trPr>
        <w:tc>
          <w:tcPr>
            <w:tcW w:w="2877" w:type="dxa"/>
            <w:gridSpan w:val="2"/>
            <w:shd w:val="clear" w:color="auto" w:fill="auto"/>
            <w:noWrap w:val="0"/>
            <w:vAlign w:val="top"/>
          </w:tcPr>
          <w:p>
            <w:pPr>
              <w:widowControl/>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插电式混合动力客车（含增程式）</w:t>
            </w:r>
          </w:p>
        </w:tc>
        <w:tc>
          <w:tcPr>
            <w:tcW w:w="1143" w:type="dxa"/>
            <w:shd w:val="clear" w:color="auto" w:fill="auto"/>
            <w:noWrap w:val="0"/>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1455" w:type="dxa"/>
            <w:shd w:val="clear" w:color="auto" w:fill="auto"/>
            <w:noWrap/>
            <w:vAlign w:val="center"/>
          </w:tcPr>
          <w:p>
            <w:pPr>
              <w:widowControl/>
              <w:jc w:val="center"/>
              <w:rPr>
                <w:rFonts w:ascii="Times New Roman" w:hAnsi="Times New Roman" w:eastAsia="仿宋_GB2312"/>
                <w:color w:val="000000"/>
                <w:kern w:val="0"/>
                <w:sz w:val="24"/>
                <w:szCs w:val="24"/>
              </w:rPr>
            </w:pPr>
            <w:r>
              <w:rPr>
                <w:rFonts w:ascii="Times New Roman" w:hAnsi="Times New Roman" w:eastAsia="仿宋_GB2312"/>
                <w:color w:val="000000"/>
                <w:kern w:val="0"/>
                <w:sz w:val="24"/>
                <w:szCs w:val="24"/>
              </w:rPr>
              <w:t>／</w:t>
            </w:r>
          </w:p>
        </w:tc>
        <w:tc>
          <w:tcPr>
            <w:tcW w:w="1380" w:type="dxa"/>
            <w:shd w:val="clear" w:color="auto" w:fill="auto"/>
            <w:noWrap w:val="0"/>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20</w:t>
            </w:r>
          </w:p>
        </w:tc>
        <w:tc>
          <w:tcPr>
            <w:tcW w:w="1335" w:type="dxa"/>
            <w:shd w:val="clear" w:color="auto" w:fill="auto"/>
            <w:noWrap w:val="0"/>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23</w:t>
            </w:r>
          </w:p>
        </w:tc>
        <w:tc>
          <w:tcPr>
            <w:tcW w:w="2400" w:type="dxa"/>
            <w:gridSpan w:val="2"/>
            <w:shd w:val="clear" w:color="auto" w:fill="auto"/>
            <w:noWrap w:val="0"/>
            <w:vAlign w:val="center"/>
          </w:tcPr>
          <w:p>
            <w:pPr>
              <w:widowControl/>
              <w:jc w:val="center"/>
              <w:rPr>
                <w:rFonts w:ascii="Times New Roman" w:hAnsi="Times New Roman" w:eastAsia="仿宋_GB2312"/>
                <w:color w:val="000000"/>
                <w:kern w:val="0"/>
                <w:sz w:val="24"/>
                <w:szCs w:val="24"/>
              </w:rPr>
            </w:pPr>
            <w:r>
              <w:rPr>
                <w:rFonts w:hint="eastAsia" w:ascii="Times New Roman" w:hAnsi="Times New Roman" w:eastAsia="仿宋_GB2312"/>
                <w:color w:val="000000"/>
                <w:kern w:val="0"/>
                <w:sz w:val="24"/>
                <w:szCs w:val="24"/>
              </w:rPr>
              <w:t>25</w:t>
            </w:r>
          </w:p>
        </w:tc>
      </w:tr>
    </w:tbl>
    <w:p>
      <w:pPr>
        <w:pStyle w:val="6"/>
        <w:widowControl/>
        <w:ind w:firstLine="0" w:firstLineChars="0"/>
        <w:rPr>
          <w:rFonts w:ascii="Times New Roman" w:hAnsi="Times New Roman" w:eastAsia="仿宋_GB2312"/>
          <w:b/>
          <w:kern w:val="0"/>
          <w:sz w:val="28"/>
          <w:szCs w:val="28"/>
        </w:rPr>
      </w:pPr>
      <w:r>
        <w:rPr>
          <w:rFonts w:hint="eastAsia" w:ascii="仿宋_GB2312" w:hAnsi="仿宋_GB2312" w:eastAsia="仿宋_GB2312" w:cs="仿宋_GB2312"/>
          <w:color w:val="000000"/>
          <w:kern w:val="0"/>
          <w:sz w:val="28"/>
          <w:szCs w:val="28"/>
        </w:rPr>
        <w:t>注：上述补助标准以10-12米客车为标准车给予补助，其他长度纯电动客车补助标准按照上表单位载质量能量消耗量和纯电动续驶里程划分，插电式混合动力客车（含增程式）补助标准按照上表纯电动续驶里程划分。其中，6米及以下客车按照标准车0.2倍给予补助；6米＜车长≤8米客车按照标准车0.5倍给予补助；8米＜车长≤10米客车按照标准车0.8倍给予补助；12米以上</w:t>
      </w:r>
      <w:bookmarkStart w:id="0" w:name="_GoBack"/>
      <w:bookmarkEnd w:id="0"/>
      <w:r>
        <w:rPr>
          <w:rFonts w:hint="eastAsia" w:ascii="仿宋_GB2312" w:hAnsi="仿宋_GB2312" w:eastAsia="仿宋_GB2312" w:cs="仿宋_GB2312"/>
          <w:color w:val="000000"/>
          <w:kern w:val="0"/>
          <w:sz w:val="28"/>
          <w:szCs w:val="28"/>
        </w:rPr>
        <w:t>、双层客车按照标准车1.2倍给予补助。</w:t>
      </w:r>
    </w:p>
    <w:p>
      <w:pPr>
        <w:pStyle w:val="6"/>
        <w:widowControl/>
        <w:numPr>
          <w:ilvl w:val="0"/>
          <w:numId w:val="0"/>
        </w:numPr>
        <w:spacing w:line="520" w:lineRule="exact"/>
        <w:ind w:leftChars="0"/>
        <w:rPr>
          <w:rFonts w:ascii="Times New Roman" w:hAnsi="Times New Roman" w:eastAsia="仿宋_GB2312"/>
          <w:b/>
          <w:kern w:val="0"/>
          <w:sz w:val="28"/>
          <w:szCs w:val="28"/>
        </w:rPr>
      </w:pPr>
      <w:r>
        <w:rPr>
          <w:rFonts w:hint="eastAsia" w:ascii="Times New Roman" w:hAnsi="Times New Roman" w:eastAsia="仿宋_GB2312"/>
          <w:b/>
          <w:kern w:val="0"/>
          <w:sz w:val="28"/>
          <w:szCs w:val="28"/>
          <w:lang w:eastAsia="zh-CN"/>
        </w:rPr>
        <w:t>（三）</w:t>
      </w:r>
      <w:r>
        <w:rPr>
          <w:rFonts w:hint="eastAsia" w:ascii="Times New Roman" w:hAnsi="Times New Roman" w:eastAsia="仿宋_GB2312"/>
          <w:b/>
          <w:kern w:val="0"/>
          <w:sz w:val="28"/>
          <w:szCs w:val="28"/>
        </w:rPr>
        <w:t>纯电动、插电式混合动力（含增程式）等</w:t>
      </w:r>
      <w:r>
        <w:rPr>
          <w:rFonts w:ascii="Times New Roman" w:hAnsi="Times New Roman" w:eastAsia="仿宋_GB2312"/>
          <w:b/>
          <w:kern w:val="0"/>
          <w:sz w:val="28"/>
          <w:szCs w:val="28"/>
        </w:rPr>
        <w:t>专用车、货车推广应用补助标准：</w:t>
      </w:r>
      <w:r>
        <w:rPr>
          <w:rFonts w:ascii="Times New Roman" w:hAnsi="Times New Roman" w:eastAsia="仿宋_GB2312"/>
          <w:b w:val="0"/>
          <w:bCs/>
          <w:kern w:val="0"/>
          <w:sz w:val="28"/>
          <w:szCs w:val="28"/>
        </w:rPr>
        <w:t>按电池容量每千瓦时补助1800元，</w:t>
      </w:r>
      <w:r>
        <w:rPr>
          <w:rFonts w:hint="eastAsia" w:ascii="Times New Roman" w:hAnsi="Times New Roman" w:eastAsia="仿宋_GB2312"/>
          <w:b w:val="0"/>
          <w:bCs/>
          <w:kern w:val="0"/>
          <w:sz w:val="28"/>
          <w:szCs w:val="28"/>
        </w:rPr>
        <w:t>并将根据产品类别、性能指标等进一步细化补贴标准</w:t>
      </w:r>
      <w:r>
        <w:rPr>
          <w:rFonts w:ascii="Times New Roman" w:hAnsi="Times New Roman" w:eastAsia="仿宋_GB2312"/>
          <w:b w:val="0"/>
          <w:bCs/>
          <w:kern w:val="0"/>
          <w:sz w:val="28"/>
          <w:szCs w:val="28"/>
        </w:rPr>
        <w:t>。</w:t>
      </w:r>
    </w:p>
    <w:p>
      <w:pPr>
        <w:pStyle w:val="6"/>
        <w:widowControl/>
        <w:numPr>
          <w:ilvl w:val="0"/>
          <w:numId w:val="0"/>
        </w:numPr>
        <w:spacing w:line="520" w:lineRule="exact"/>
        <w:ind w:leftChars="0"/>
        <w:rPr>
          <w:rFonts w:ascii="Times New Roman" w:hAnsi="Times New Roman" w:eastAsia="仿宋_GB2312"/>
          <w:b/>
          <w:kern w:val="0"/>
          <w:sz w:val="28"/>
          <w:szCs w:val="28"/>
        </w:rPr>
      </w:pPr>
      <w:r>
        <w:rPr>
          <w:rFonts w:hint="eastAsia" w:ascii="Times New Roman" w:hAnsi="Times New Roman" w:eastAsia="仿宋_GB2312"/>
          <w:b/>
          <w:kern w:val="0"/>
          <w:sz w:val="28"/>
          <w:szCs w:val="28"/>
          <w:lang w:eastAsia="zh-CN"/>
        </w:rPr>
        <w:t>（四）</w:t>
      </w:r>
      <w:r>
        <w:rPr>
          <w:rFonts w:ascii="Times New Roman" w:hAnsi="Times New Roman" w:eastAsia="仿宋_GB2312"/>
          <w:b/>
          <w:kern w:val="0"/>
          <w:sz w:val="28"/>
          <w:szCs w:val="28"/>
        </w:rPr>
        <w:t>燃料电池汽车推广应用补助标准（单位：万元/辆）</w:t>
      </w:r>
    </w:p>
    <w:tbl>
      <w:tblPr>
        <w:tblStyle w:val="4"/>
        <w:tblW w:w="8700" w:type="dxa"/>
        <w:tblInd w:w="0" w:type="dxa"/>
        <w:tblLayout w:type="fixed"/>
        <w:tblCellMar>
          <w:top w:w="0" w:type="dxa"/>
          <w:left w:w="108" w:type="dxa"/>
          <w:bottom w:w="0" w:type="dxa"/>
          <w:right w:w="108" w:type="dxa"/>
        </w:tblCellMar>
      </w:tblPr>
      <w:tblGrid>
        <w:gridCol w:w="3960"/>
        <w:gridCol w:w="4740"/>
      </w:tblGrid>
      <w:tr>
        <w:tblPrEx>
          <w:tblLayout w:type="fixed"/>
          <w:tblCellMar>
            <w:top w:w="0" w:type="dxa"/>
            <w:left w:w="108" w:type="dxa"/>
            <w:bottom w:w="0" w:type="dxa"/>
            <w:right w:w="108" w:type="dxa"/>
          </w:tblCellMar>
        </w:tblPrEx>
        <w:trPr>
          <w:trHeight w:val="355" w:hRule="atLeast"/>
        </w:trPr>
        <w:tc>
          <w:tcPr>
            <w:tcW w:w="3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车辆类型</w:t>
            </w:r>
          </w:p>
        </w:tc>
        <w:tc>
          <w:tcPr>
            <w:tcW w:w="4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Times New Roman" w:hAnsi="Times New Roman" w:eastAsia="仿宋_GB2312"/>
                <w:b w:val="0"/>
                <w:bCs/>
                <w:kern w:val="0"/>
                <w:sz w:val="24"/>
                <w:szCs w:val="24"/>
              </w:rPr>
            </w:pPr>
            <w:r>
              <w:rPr>
                <w:rFonts w:ascii="Times New Roman" w:hAnsi="Times New Roman" w:eastAsia="仿宋_GB2312"/>
                <w:b w:val="0"/>
                <w:bCs/>
                <w:kern w:val="0"/>
                <w:sz w:val="24"/>
                <w:szCs w:val="24"/>
              </w:rPr>
              <w:t>补助标准</w:t>
            </w:r>
          </w:p>
        </w:tc>
      </w:tr>
      <w:tr>
        <w:tblPrEx>
          <w:tblLayout w:type="fixed"/>
          <w:tblCellMar>
            <w:top w:w="0" w:type="dxa"/>
            <w:left w:w="108" w:type="dxa"/>
            <w:bottom w:w="0" w:type="dxa"/>
            <w:right w:w="108" w:type="dxa"/>
          </w:tblCellMar>
        </w:tblPrEx>
        <w:trPr>
          <w:trHeight w:val="355" w:hRule="atLeast"/>
        </w:trPr>
        <w:tc>
          <w:tcPr>
            <w:tcW w:w="3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燃料电池乘用车</w:t>
            </w:r>
          </w:p>
        </w:tc>
        <w:tc>
          <w:tcPr>
            <w:tcW w:w="4740" w:type="dxa"/>
            <w:tcBorders>
              <w:top w:val="single" w:color="000000" w:sz="4" w:space="0"/>
              <w:left w:val="nil"/>
              <w:bottom w:val="single" w:color="000000" w:sz="4" w:space="0"/>
              <w:right w:val="single" w:color="000000" w:sz="4" w:space="0"/>
            </w:tcBorders>
            <w:shd w:val="clear" w:color="auto" w:fill="FFFFFF"/>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20</w:t>
            </w:r>
          </w:p>
        </w:tc>
      </w:tr>
      <w:tr>
        <w:tblPrEx>
          <w:tblLayout w:type="fixed"/>
          <w:tblCellMar>
            <w:top w:w="0" w:type="dxa"/>
            <w:left w:w="108" w:type="dxa"/>
            <w:bottom w:w="0" w:type="dxa"/>
            <w:right w:w="108" w:type="dxa"/>
          </w:tblCellMar>
        </w:tblPrEx>
        <w:trPr>
          <w:trHeight w:val="355" w:hRule="atLeast"/>
        </w:trPr>
        <w:tc>
          <w:tcPr>
            <w:tcW w:w="3960" w:type="dxa"/>
            <w:tcBorders>
              <w:top w:val="single" w:color="000000" w:sz="4" w:space="0"/>
              <w:left w:val="single" w:color="000000" w:sz="4" w:space="0"/>
              <w:bottom w:val="single" w:color="000000" w:sz="4" w:space="0"/>
              <w:right w:val="single" w:color="000000" w:sz="4" w:space="0"/>
            </w:tcBorders>
            <w:shd w:val="clear" w:color="auto" w:fill="FFFFFF"/>
            <w:noWrap w:val="0"/>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燃料电池轻型客车、货车</w:t>
            </w:r>
          </w:p>
        </w:tc>
        <w:tc>
          <w:tcPr>
            <w:tcW w:w="4740" w:type="dxa"/>
            <w:tcBorders>
              <w:top w:val="single" w:color="000000" w:sz="4" w:space="0"/>
              <w:left w:val="nil"/>
              <w:right w:val="single" w:color="000000" w:sz="4" w:space="0"/>
            </w:tcBorders>
            <w:shd w:val="clear" w:color="auto" w:fill="FFFFFF"/>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30</w:t>
            </w:r>
          </w:p>
        </w:tc>
      </w:tr>
      <w:tr>
        <w:tblPrEx>
          <w:tblLayout w:type="fixed"/>
          <w:tblCellMar>
            <w:top w:w="0" w:type="dxa"/>
            <w:left w:w="108" w:type="dxa"/>
            <w:bottom w:w="0" w:type="dxa"/>
            <w:right w:w="108" w:type="dxa"/>
          </w:tblCellMar>
        </w:tblPrEx>
        <w:trPr>
          <w:trHeight w:val="366" w:hRule="atLeast"/>
        </w:trPr>
        <w:tc>
          <w:tcPr>
            <w:tcW w:w="3960" w:type="dxa"/>
            <w:tcBorders>
              <w:top w:val="single" w:color="000000" w:sz="4" w:space="0"/>
              <w:left w:val="single" w:color="000000" w:sz="4" w:space="0"/>
              <w:bottom w:val="single" w:color="auto" w:sz="4" w:space="0"/>
              <w:right w:val="single" w:color="000000" w:sz="4" w:space="0"/>
            </w:tcBorders>
            <w:shd w:val="clear" w:color="auto" w:fill="FFFFFF"/>
            <w:noWrap w:val="0"/>
            <w:vAlign w:val="center"/>
          </w:tcPr>
          <w:p>
            <w:pPr>
              <w:widowControl/>
              <w:jc w:val="left"/>
              <w:rPr>
                <w:rFonts w:ascii="Times New Roman" w:hAnsi="Times New Roman" w:eastAsia="仿宋_GB2312"/>
                <w:kern w:val="0"/>
                <w:sz w:val="24"/>
                <w:szCs w:val="24"/>
              </w:rPr>
            </w:pPr>
            <w:r>
              <w:rPr>
                <w:rFonts w:ascii="Times New Roman" w:hAnsi="Times New Roman" w:eastAsia="仿宋_GB2312"/>
                <w:kern w:val="0"/>
                <w:sz w:val="24"/>
                <w:szCs w:val="24"/>
              </w:rPr>
              <w:t>燃料电池大中型客车、中重型货车</w:t>
            </w:r>
          </w:p>
        </w:tc>
        <w:tc>
          <w:tcPr>
            <w:tcW w:w="4740" w:type="dxa"/>
            <w:tcBorders>
              <w:top w:val="single" w:color="000000" w:sz="4" w:space="0"/>
              <w:left w:val="nil"/>
              <w:bottom w:val="single" w:color="auto" w:sz="4" w:space="0"/>
              <w:right w:val="single" w:color="000000" w:sz="4" w:space="0"/>
            </w:tcBorders>
            <w:shd w:val="clear" w:color="auto" w:fill="FFFFFF"/>
            <w:noWrap w:val="0"/>
            <w:vAlign w:val="center"/>
          </w:tcPr>
          <w:p>
            <w:pPr>
              <w:widowControl/>
              <w:jc w:val="center"/>
              <w:rPr>
                <w:rFonts w:ascii="Times New Roman" w:hAnsi="Times New Roman" w:eastAsia="仿宋_GB2312"/>
                <w:kern w:val="0"/>
                <w:sz w:val="24"/>
                <w:szCs w:val="24"/>
              </w:rPr>
            </w:pPr>
            <w:r>
              <w:rPr>
                <w:rFonts w:ascii="Times New Roman" w:hAnsi="Times New Roman" w:eastAsia="仿宋_GB2312"/>
                <w:kern w:val="0"/>
                <w:sz w:val="24"/>
                <w:szCs w:val="24"/>
              </w:rPr>
              <w:t>50</w:t>
            </w:r>
          </w:p>
        </w:tc>
      </w:tr>
    </w:tbl>
    <w:p>
      <w:pPr>
        <w:keepNext w:val="0"/>
        <w:keepLines w:val="0"/>
        <w:pageBreakBefore w:val="0"/>
        <w:widowControl w:val="0"/>
        <w:kinsoku/>
        <w:wordWrap/>
        <w:overflowPunct/>
        <w:topLinePunct w:val="0"/>
        <w:autoSpaceDE/>
        <w:autoSpaceDN/>
        <w:bidi w:val="0"/>
        <w:adjustRightInd/>
        <w:snapToGrid/>
        <w:spacing w:before="157" w:beforeLines="50"/>
        <w:ind w:left="0" w:leftChars="0" w:right="0" w:firstLine="0" w:firstLineChars="0"/>
        <w:jc w:val="both"/>
        <w:textAlignment w:val="auto"/>
        <w:rPr>
          <w:rFonts w:hint="eastAsia" w:ascii="方正小标宋_GBK" w:hAnsi="方正小标宋_GBK" w:eastAsia="方正小标宋_GBK"/>
          <w:sz w:val="28"/>
          <w:szCs w:val="28"/>
        </w:rPr>
      </w:pPr>
      <w:r>
        <w:rPr>
          <w:rFonts w:hint="eastAsia" w:ascii="Times New Roman" w:hAnsi="Times New Roman" w:eastAsia="仿宋_GB2312"/>
          <w:b/>
          <w:bCs/>
          <w:sz w:val="28"/>
          <w:szCs w:val="28"/>
          <w:lang w:eastAsia="zh-CN"/>
        </w:rPr>
        <w:t>二</w:t>
      </w:r>
      <w:r>
        <w:rPr>
          <w:rFonts w:hint="eastAsia" w:ascii="Times New Roman" w:hAnsi="Times New Roman" w:eastAsia="仿宋_GB2312"/>
          <w:sz w:val="28"/>
          <w:szCs w:val="28"/>
          <w:lang w:eastAsia="zh-CN"/>
        </w:rPr>
        <w:t>．</w:t>
      </w:r>
      <w:r>
        <w:rPr>
          <w:rFonts w:hint="eastAsia" w:ascii="方正小标宋_GBK" w:hAnsi="方正小标宋_GBK" w:eastAsia="方正小标宋_GBK"/>
          <w:sz w:val="28"/>
          <w:szCs w:val="28"/>
        </w:rPr>
        <w:t>2016年海南新能源汽车</w:t>
      </w:r>
      <w:r>
        <w:rPr>
          <w:rFonts w:hint="eastAsia" w:ascii="方正小标宋_GBK" w:hAnsi="方正小标宋_GBK" w:eastAsia="方正小标宋_GBK"/>
          <w:sz w:val="28"/>
          <w:szCs w:val="28"/>
          <w:lang w:eastAsia="zh-CN"/>
        </w:rPr>
        <w:t>地方</w:t>
      </w:r>
      <w:r>
        <w:rPr>
          <w:rFonts w:hint="eastAsia" w:ascii="方正小标宋_GBK" w:hAnsi="方正小标宋_GBK" w:eastAsia="方正小标宋_GBK"/>
          <w:sz w:val="28"/>
          <w:szCs w:val="28"/>
        </w:rPr>
        <w:t>购车补贴核算方法</w:t>
      </w:r>
    </w:p>
    <w:p>
      <w:pPr>
        <w:ind w:left="0" w:leftChars="0" w:right="0" w:firstLine="560" w:firstLineChars="200"/>
        <w:jc w:val="both"/>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根据《</w:t>
      </w:r>
      <w:r>
        <w:rPr>
          <w:rFonts w:hint="eastAsia" w:ascii="仿宋_GB2312" w:eastAsia="仿宋_GB2312"/>
          <w:sz w:val="28"/>
          <w:szCs w:val="28"/>
        </w:rPr>
        <w:t>海南省新能源汽车推广应用省级财政补贴实施办法</w:t>
      </w:r>
      <w:r>
        <w:rPr>
          <w:rFonts w:hint="eastAsia" w:ascii="仿宋_GB2312" w:hAnsi="仿宋_GB2312" w:eastAsia="仿宋_GB2312"/>
          <w:sz w:val="28"/>
          <w:szCs w:val="28"/>
          <w:lang w:eastAsia="zh-CN"/>
        </w:rPr>
        <w:t>》文件要求，2016年海南新能源汽车地方购车补贴按国家补贴标准1:1执行，且中央、省、市县三级财政补贴总额不得超过车辆总价的60%。按此原则，2016年我省新能源汽车地方购车补贴核算方法如下：</w:t>
      </w:r>
    </w:p>
    <w:p>
      <w:pPr>
        <w:ind w:left="0" w:leftChars="0" w:right="0" w:firstLine="562" w:firstLineChars="200"/>
        <w:jc w:val="both"/>
        <w:rPr>
          <w:rFonts w:hint="eastAsia" w:ascii="仿宋_GB2312" w:hAnsi="仿宋_GB2312" w:eastAsia="仿宋_GB2312"/>
          <w:sz w:val="28"/>
          <w:szCs w:val="28"/>
          <w:lang w:eastAsia="zh-CN"/>
        </w:rPr>
      </w:pPr>
      <w:r>
        <w:rPr>
          <w:rFonts w:hint="eastAsia" w:ascii="仿宋_GB2312" w:hAnsi="仿宋_GB2312" w:eastAsia="仿宋_GB2312"/>
          <w:b/>
          <w:sz w:val="28"/>
          <w:szCs w:val="28"/>
          <w:lang w:eastAsia="zh-CN"/>
        </w:rPr>
        <w:t>（一）新能源汽车销售机构按扣除国家补贴后的价格开具销售发票。</w:t>
      </w:r>
      <w:r>
        <w:rPr>
          <w:rFonts w:hint="eastAsia" w:ascii="仿宋_GB2312" w:hAnsi="仿宋_GB2312" w:eastAsia="仿宋_GB2312"/>
          <w:sz w:val="28"/>
          <w:szCs w:val="28"/>
          <w:lang w:eastAsia="zh-CN"/>
        </w:rPr>
        <w:t>此类情况下，地方购车补贴总额=（销售发票金额+国家补贴金额）×60%-国家补贴金额。而后进行二次判定，若按公式计算得出数小于国家补贴数，则取计算数为地方补贴总额；若按若按公式计算得出数大于国家补贴数，则取国家补贴数为地方补贴总额。</w:t>
      </w:r>
    </w:p>
    <w:p>
      <w:pPr>
        <w:ind w:left="0" w:leftChars="0" w:right="0" w:firstLine="560" w:firstLineChars="200"/>
        <w:jc w:val="both"/>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例1：新能源汽车A车型，国家补贴金额为50万元，发票金额为100万元，则该款车型地方购车补贴计算公式为：（100+50）×60%-50=40万元；二次判定40万元&lt;50万元，则该款车地方补贴总额为40万元。</w:t>
      </w:r>
    </w:p>
    <w:p>
      <w:pPr>
        <w:ind w:left="0" w:leftChars="0" w:right="0" w:firstLine="560" w:firstLineChars="200"/>
        <w:jc w:val="both"/>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例2：新能源汽车B车型，国家补贴金额为50万元，发票金额为150万元，则该款车型地方购车补贴计算公式为：（150+50）×60%-50=70万元；二次判定70万元&gt;50万元，则该款车地方补贴总额为50万元。</w:t>
      </w:r>
    </w:p>
    <w:p>
      <w:pPr>
        <w:ind w:left="0" w:leftChars="0" w:right="0" w:firstLine="562" w:firstLineChars="200"/>
        <w:jc w:val="both"/>
        <w:rPr>
          <w:rFonts w:hint="eastAsia" w:ascii="仿宋_GB2312" w:hAnsi="仿宋_GB2312" w:eastAsia="仿宋_GB2312"/>
          <w:sz w:val="28"/>
          <w:szCs w:val="28"/>
          <w:lang w:eastAsia="zh-CN"/>
        </w:rPr>
      </w:pPr>
      <w:r>
        <w:rPr>
          <w:rFonts w:hint="eastAsia" w:ascii="仿宋_GB2312" w:hAnsi="仿宋_GB2312" w:eastAsia="仿宋_GB2312"/>
          <w:b/>
          <w:sz w:val="28"/>
          <w:szCs w:val="28"/>
          <w:lang w:eastAsia="zh-CN"/>
        </w:rPr>
        <w:t>（二）新能源汽车销售机构按扣除国家补贴和地方补贴后的价格开具销售发票。</w:t>
      </w:r>
      <w:r>
        <w:rPr>
          <w:rFonts w:hint="eastAsia" w:ascii="仿宋_GB2312" w:hAnsi="仿宋_GB2312" w:eastAsia="仿宋_GB2312"/>
          <w:sz w:val="28"/>
          <w:szCs w:val="28"/>
          <w:lang w:eastAsia="zh-CN"/>
        </w:rPr>
        <w:t>此类情况下，地方购车补贴总额=（销售发票金额+国家补贴金额×2）×60%-国家补贴金额。而后进行二次判定，若按公式计算得出数小于国家补贴数，则取计算数为地方补贴总额；若按若按公式计算得出数大于国家补贴数，则取国家补贴数为地方补贴总额。</w:t>
      </w:r>
    </w:p>
    <w:p>
      <w:pPr>
        <w:ind w:left="0" w:leftChars="0" w:right="0" w:firstLine="560" w:firstLineChars="200"/>
        <w:jc w:val="both"/>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例3：新能源汽车C车型，国家补贴金额为50万元，发票金额为50万元，则该款车型地方购车补贴计算公式为：（50+50×2）×60%-50=40万元；二次判定40万元&lt;50万元，则该款车地方补贴总额为40万元。</w:t>
      </w:r>
    </w:p>
    <w:p>
      <w:pPr>
        <w:ind w:left="0" w:leftChars="0" w:right="0" w:firstLine="560" w:firstLineChars="200"/>
        <w:jc w:val="both"/>
        <w:rPr>
          <w:rFonts w:hint="eastAsia" w:ascii="仿宋_GB2312" w:hAnsi="仿宋_GB2312" w:eastAsia="仿宋_GB2312"/>
          <w:sz w:val="28"/>
          <w:szCs w:val="28"/>
          <w:lang w:eastAsia="zh-CN"/>
        </w:rPr>
      </w:pPr>
      <w:r>
        <w:rPr>
          <w:rFonts w:hint="eastAsia" w:ascii="仿宋_GB2312" w:hAnsi="仿宋_GB2312" w:eastAsia="仿宋_GB2312"/>
          <w:sz w:val="28"/>
          <w:szCs w:val="28"/>
          <w:lang w:eastAsia="zh-CN"/>
        </w:rPr>
        <w:t>例4：新能源汽车D车型，国家补贴金额为50万元，发票金额为100万元，则该款车型地方购车补贴计算公式为：（100+50×2）×60%-50=70万元；二次判定70万元&gt;50万元，则该款车地方补贴总额为50万元。</w:t>
      </w:r>
    </w:p>
    <w:p>
      <w:pPr>
        <w:ind w:left="0" w:leftChars="0" w:right="0" w:firstLine="640" w:firstLineChars="200"/>
        <w:jc w:val="both"/>
        <w:rPr>
          <w:rFonts w:hint="eastAsia" w:ascii="仿宋_GB2312" w:hAnsi="仿宋_GB2312" w:eastAsia="仿宋_GB2312"/>
          <w:sz w:val="32"/>
          <w:lang w:eastAsia="zh-CN"/>
        </w:rPr>
      </w:pPr>
    </w:p>
    <w:p>
      <w:pPr>
        <w:ind w:left="0" w:leftChars="0" w:right="0" w:firstLine="640" w:firstLineChars="200"/>
        <w:jc w:val="both"/>
        <w:rPr>
          <w:rFonts w:hint="eastAsia" w:ascii="仿宋_GB2312" w:hAnsi="仿宋_GB2312" w:eastAsia="仿宋_GB2312"/>
          <w:sz w:val="32"/>
          <w:lang w:eastAsia="zh-CN"/>
        </w:rPr>
      </w:pPr>
    </w:p>
    <w:p/>
    <w:sectPr>
      <w:footerReference r:id="rId3" w:type="default"/>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2</w:t>
    </w:r>
    <w: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C7C7822"/>
    <w:rsid w:val="1FAB0ABA"/>
    <w:rsid w:val="2C7C7822"/>
    <w:rsid w:val="358107BD"/>
    <w:rsid w:val="57A42017"/>
    <w:rsid w:val="5DA65A15"/>
    <w:rsid w:val="79E10185"/>
    <w:rsid w:val="7C183C79"/>
    <w:rsid w:val="7C5A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paragraph" w:customStyle="1" w:styleId="6">
    <w:name w:val="列出段落"/>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8</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2019-01-22T09:09:00Z</dcterms:created>
  <dc:creator>曾洁</dc:creator>
  <cp:lastModifiedBy>曾洁</cp:lastModifiedBy>
  <dcterms:modified xsi:type="dcterms:W3CDTF">2019-05-14T02:20:47Z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