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left"/>
        <w:textAlignment w:val="auto"/>
        <w:outlineLvl w:val="1"/>
        <w:rPr>
          <w:rFonts w:hint="eastAsia" w:ascii="黑体" w:hAnsi="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cs="黑体"/>
          <w:b w:val="0"/>
          <w:bCs/>
          <w:color w:val="000000" w:themeColor="text1"/>
          <w:kern w:val="2"/>
          <w:sz w:val="32"/>
          <w:szCs w:val="32"/>
          <w:lang w:val="en-US" w:eastAsia="zh-CN" w:bidi="ar-SA"/>
          <w14:textFill>
            <w14:solidFill>
              <w14:schemeClr w14:val="tx1"/>
            </w14:solidFill>
          </w14:textFill>
        </w:rPr>
        <w:t>附件3</w:t>
      </w:r>
    </w:p>
    <w:p>
      <w:pPr>
        <w:rPr>
          <w:rFonts w:hint="default"/>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center"/>
        <w:textAlignment w:val="auto"/>
        <w:outlineLvl w:val="1"/>
        <w:rPr>
          <w:rFonts w:hint="eastAsia"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pPr>
      <w:r>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2020年第六届亚洲沙滩运动会</w:t>
      </w:r>
      <w:r>
        <w:rPr>
          <w:rFonts w:hint="eastAsia"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制服类</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center"/>
        <w:textAlignment w:val="auto"/>
        <w:outlineLvl w:val="1"/>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pPr>
      <w:r>
        <w:rPr>
          <w:rFonts w:hint="eastAsia"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保障方案</w:t>
      </w:r>
      <w:bookmarkStart w:id="4" w:name="_GoBack"/>
      <w:bookmarkEnd w:id="4"/>
      <w:r>
        <w:rPr>
          <w:rFonts w:hint="eastAsia"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w:t>
      </w:r>
      <w:r>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赞助方案及报价明细</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center"/>
        <w:textAlignment w:val="auto"/>
        <w:outlineLvl w:val="1"/>
        <w:rPr>
          <w:rFonts w:hint="eastAsia" w:ascii="Times New Roman" w:hAnsi="Times New Roman" w:eastAsia="方正小标宋简体" w:cs="Times New Roman"/>
          <w:b w:val="0"/>
          <w:bCs/>
          <w:color w:val="000000" w:themeColor="text1"/>
          <w:kern w:val="2"/>
          <w:sz w:val="32"/>
          <w:szCs w:val="32"/>
          <w:lang w:val="en-US" w:eastAsia="zh-CN" w:bidi="ar-SA"/>
          <w14:textFill>
            <w14:solidFill>
              <w14:schemeClr w14:val="tx1"/>
            </w14:solidFill>
          </w14:textFill>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1"/>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一、</w:t>
      </w:r>
      <w:r>
        <w:rPr>
          <w:rFonts w:hint="eastAsia" w:ascii="黑体" w:hAnsi="黑体" w:cs="黑体"/>
          <w:b w:val="0"/>
          <w:bCs/>
          <w:color w:val="000000" w:themeColor="text1"/>
          <w:kern w:val="2"/>
          <w:sz w:val="32"/>
          <w:szCs w:val="32"/>
          <w:lang w:val="en-US" w:eastAsia="zh-CN" w:bidi="ar-SA"/>
          <w14:textFill>
            <w14:solidFill>
              <w14:schemeClr w14:val="tx1"/>
            </w14:solidFill>
          </w14:textFill>
        </w:rPr>
        <w:t>保障</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方案</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撰写要求：</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eastAsia" w:ascii="Times New Roman" w:hAnsi="Times New Roman" w:eastAsia="仿宋_GB2312" w:cs="Times New Roman"/>
          <w:b w:val="0"/>
          <w:bCs/>
          <w:sz w:val="32"/>
          <w:szCs w:val="32"/>
          <w:highlight w:val="none"/>
          <w:lang w:eastAsia="zh-CN"/>
        </w:rPr>
        <w:t>制服设计</w:t>
      </w:r>
      <w:r>
        <w:rPr>
          <w:rFonts w:hint="default" w:ascii="Times New Roman" w:hAnsi="Times New Roman" w:eastAsia="仿宋_GB2312" w:cs="Times New Roman"/>
          <w:b w:val="0"/>
          <w:bCs/>
          <w:sz w:val="32"/>
          <w:szCs w:val="32"/>
          <w:highlight w:val="none"/>
        </w:rPr>
        <w:t>方案内容完整、服务方案全面，具有专业性</w:t>
      </w:r>
      <w:r>
        <w:rPr>
          <w:rFonts w:hint="eastAsia"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措施能结合实际，可操作性强；</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主题明确、结构严谨、条理清晰</w:t>
      </w:r>
      <w:r>
        <w:rPr>
          <w:rFonts w:hint="eastAsia"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写作规范，用词简练准确；</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eastAsia" w:ascii="Times New Roman" w:hAnsi="Times New Roman" w:eastAsia="仿宋_GB2312"/>
          <w:color w:val="000000" w:themeColor="text1"/>
          <w:kern w:val="2"/>
          <w:sz w:val="32"/>
          <w:szCs w:val="32"/>
          <w:highlight w:val="none"/>
          <w:lang w:val="en-US" w:eastAsia="zh-CN"/>
          <w14:textFill>
            <w14:solidFill>
              <w14:schemeClr w14:val="tx1"/>
            </w14:solidFill>
          </w14:textFill>
        </w:rPr>
        <w:t>根据人群类别设计款式，结合三亚气候环境，挑选合适的制服面料，满足人群类别功能需求，符合海南实际情况</w:t>
      </w:r>
      <w:r>
        <w:rPr>
          <w:rFonts w:hint="default" w:ascii="Times New Roman" w:hAnsi="Times New Roman" w:eastAsia="仿宋_GB2312" w:cs="Times New Roman"/>
          <w:b w:val="0"/>
          <w:bCs/>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团队架构完善</w:t>
      </w:r>
      <w:r>
        <w:rPr>
          <w:rFonts w:hint="eastAsia" w:ascii="Times New Roman" w:hAnsi="Times New Roman" w:eastAsia="仿宋_GB2312" w:cs="Times New Roman"/>
          <w:b w:val="0"/>
          <w:bCs/>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有详细工作周期、工作流程说明和工期保障时间节点表</w:t>
      </w:r>
      <w:r>
        <w:rPr>
          <w:rFonts w:hint="eastAsia" w:ascii="Times New Roman" w:hAnsi="Times New Roman" w:eastAsia="仿宋_GB2312" w:cs="Times New Roman"/>
          <w:b w:val="0"/>
          <w:bCs/>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字数不低于</w:t>
      </w:r>
      <w:r>
        <w:rPr>
          <w:rFonts w:hint="default" w:ascii="Times New Roman" w:hAnsi="Times New Roman" w:eastAsia="仿宋_GB2312" w:cs="Times New Roman"/>
          <w:b w:val="0"/>
          <w:bCs/>
          <w:sz w:val="32"/>
          <w:szCs w:val="32"/>
          <w:highlight w:val="none"/>
          <w:lang w:val="en-US" w:eastAsia="zh-CN"/>
        </w:rPr>
        <w:t>3</w:t>
      </w:r>
      <w:r>
        <w:rPr>
          <w:rFonts w:hint="default" w:ascii="Times New Roman" w:hAnsi="Times New Roman" w:eastAsia="仿宋_GB2312" w:cs="Times New Roman"/>
          <w:b w:val="0"/>
          <w:bCs/>
          <w:sz w:val="32"/>
          <w:szCs w:val="32"/>
          <w:highlight w:val="none"/>
        </w:rPr>
        <w:t>000字。</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1"/>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cs="黑体"/>
          <w:b w:val="0"/>
          <w:bCs/>
          <w:color w:val="000000" w:themeColor="text1"/>
          <w:kern w:val="2"/>
          <w:sz w:val="32"/>
          <w:szCs w:val="32"/>
          <w:lang w:val="en-US" w:eastAsia="zh-CN" w:bidi="ar-SA"/>
          <w14:textFill>
            <w14:solidFill>
              <w14:schemeClr w14:val="tx1"/>
            </w14:solidFill>
          </w14:textFill>
        </w:rPr>
        <w:t>二</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、赞助方案</w:t>
      </w:r>
    </w:p>
    <w:p>
      <w:pPr>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撰写要求：</w:t>
      </w:r>
    </w:p>
    <w:p>
      <w:pPr>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主题鲜明</w:t>
      </w:r>
      <w:r>
        <w:rPr>
          <w:rFonts w:hint="eastAsia" w:ascii="Times New Roman" w:hAnsi="Times New Roman" w:eastAsia="仿宋_GB2312" w:cs="Times New Roman"/>
          <w:b w:val="0"/>
          <w:bCs/>
          <w:sz w:val="32"/>
          <w:szCs w:val="32"/>
          <w:lang w:eastAsia="zh-CN"/>
        </w:rPr>
        <w:t>、结构</w:t>
      </w:r>
      <w:r>
        <w:rPr>
          <w:rFonts w:hint="default" w:ascii="Times New Roman" w:hAnsi="Times New Roman" w:eastAsia="仿宋_GB2312" w:cs="Times New Roman"/>
          <w:b w:val="0"/>
          <w:bCs/>
          <w:sz w:val="32"/>
          <w:szCs w:val="32"/>
        </w:rPr>
        <w:t>严谨、</w:t>
      </w:r>
      <w:r>
        <w:rPr>
          <w:rFonts w:hint="eastAsia" w:ascii="Times New Roman" w:hAnsi="Times New Roman" w:eastAsia="仿宋_GB2312" w:cs="Times New Roman"/>
          <w:b w:val="0"/>
          <w:bCs/>
          <w:sz w:val="32"/>
          <w:szCs w:val="32"/>
          <w:lang w:eastAsia="zh-CN"/>
        </w:rPr>
        <w:t>条理清晰、写作规范、用词简练准确；</w:t>
      </w:r>
    </w:p>
    <w:p>
      <w:pPr>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方案结合实际</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具有可行性、可操作性；</w:t>
      </w:r>
    </w:p>
    <w:p>
      <w:pPr>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kern w:val="2"/>
          <w:sz w:val="32"/>
          <w:szCs w:val="32"/>
          <w:highlight w:val="none"/>
          <w:lang w:eastAsia="zh-CN"/>
        </w:rPr>
        <w:t>若外包团队等单位提出采购需求导致采购金额增加的，应征企业应根据赞助与预算比例相应增加赞助金额</w:t>
      </w:r>
      <w:r>
        <w:rPr>
          <w:rFonts w:hint="eastAsia" w:ascii="Times New Roman" w:hAnsi="Times New Roman" w:eastAsia="仿宋_GB2312" w:cs="Times New Roman"/>
          <w:b w:val="0"/>
          <w:bCs/>
          <w:sz w:val="32"/>
          <w:szCs w:val="32"/>
          <w:lang w:eastAsia="zh-CN"/>
        </w:rPr>
        <w:t>；</w:t>
      </w:r>
    </w:p>
    <w:p>
      <w:pPr>
        <w:pStyle w:val="2"/>
        <w:keepNext/>
        <w:keepLines/>
        <w:pageBreakBefore w:val="0"/>
        <w:widowControl w:val="0"/>
        <w:numPr>
          <w:ilvl w:val="0"/>
          <w:numId w:val="2"/>
        </w:numPr>
        <w:kinsoku/>
        <w:wordWrap/>
        <w:overflowPunct/>
        <w:topLinePunct w:val="0"/>
        <w:autoSpaceDE/>
        <w:autoSpaceDN/>
        <w:bidi w:val="0"/>
        <w:adjustRightInd/>
        <w:snapToGrid/>
        <w:spacing w:before="0" w:beforeLines="0" w:after="0" w:afterLines="0" w:line="578" w:lineRule="exact"/>
        <w:ind w:left="0" w:leftChars="0" w:firstLine="640" w:firstLineChars="200"/>
        <w:jc w:val="both"/>
        <w:textAlignment w:val="auto"/>
        <w:outlineLvl w:val="1"/>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字数不低于1000字。</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1"/>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pPr>
      <w:bookmarkStart w:id="0" w:name="_Toc31521"/>
      <w:r>
        <w:rPr>
          <w:rFonts w:hint="eastAsia" w:ascii="黑体" w:hAnsi="黑体" w:cs="黑体"/>
          <w:b w:val="0"/>
          <w:bCs/>
          <w:color w:val="000000" w:themeColor="text1"/>
          <w:kern w:val="2"/>
          <w:sz w:val="32"/>
          <w:szCs w:val="32"/>
          <w:lang w:val="en-US" w:eastAsia="zh-CN" w:bidi="ar-SA"/>
          <w14:textFill>
            <w14:solidFill>
              <w14:schemeClr w14:val="tx1"/>
            </w14:solidFill>
          </w14:textFill>
        </w:rPr>
        <w:t>三</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w:t>
      </w:r>
      <w:r>
        <w:rPr>
          <w:rFonts w:hint="eastAsia" w:ascii="黑体" w:hAnsi="黑体" w:cs="黑体"/>
          <w:b w:val="0"/>
          <w:bCs/>
          <w:color w:val="000000" w:themeColor="text1"/>
          <w:kern w:val="2"/>
          <w:sz w:val="32"/>
          <w:szCs w:val="32"/>
          <w:lang w:val="en-US" w:eastAsia="zh-CN" w:bidi="ar-SA"/>
          <w14:textFill>
            <w14:solidFill>
              <w14:schemeClr w14:val="tx1"/>
            </w14:solidFill>
          </w14:textFill>
        </w:rPr>
        <w:t>采购</w:t>
      </w:r>
      <w:r>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t>报价明细及补充材料</w:t>
      </w:r>
      <w:bookmarkEnd w:id="0"/>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z w:val="32"/>
          <w:szCs w:val="32"/>
        </w:rPr>
      </w:pPr>
      <w:r>
        <w:rPr>
          <w:rFonts w:hint="eastAsia" w:ascii="Times New Roman" w:hAnsi="Times New Roman" w:eastAsia="仿宋" w:cs="Times New Roman"/>
          <w:b w:val="0"/>
          <w:bCs/>
          <w:sz w:val="32"/>
          <w:szCs w:val="32"/>
          <w:lang w:eastAsia="zh-CN"/>
        </w:rPr>
        <w:t>采购报价明细及</w:t>
      </w:r>
      <w:r>
        <w:rPr>
          <w:rFonts w:hint="default" w:ascii="Times New Roman" w:hAnsi="Times New Roman" w:eastAsia="仿宋_GB2312" w:cs="Times New Roman"/>
          <w:b w:val="0"/>
          <w:bCs/>
          <w:sz w:val="32"/>
          <w:szCs w:val="32"/>
        </w:rPr>
        <w:t>应征企业认为需要补充说明的材料</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1"/>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pPr>
      <w:bookmarkStart w:id="1" w:name="_Toc8732"/>
      <w:bookmarkStart w:id="2" w:name="_Toc14535"/>
      <w:bookmarkStart w:id="3" w:name="_Toc29098"/>
      <w:r>
        <w:rPr>
          <w:rFonts w:hint="eastAsia" w:ascii="黑体" w:hAnsi="黑体" w:cs="黑体"/>
          <w:b w:val="0"/>
          <w:bCs/>
          <w:color w:val="000000" w:themeColor="text1"/>
          <w:kern w:val="2"/>
          <w:sz w:val="32"/>
          <w:szCs w:val="32"/>
          <w:lang w:val="en-US" w:eastAsia="zh-CN" w:bidi="ar-SA"/>
          <w14:textFill>
            <w14:solidFill>
              <w14:schemeClr w14:val="tx1"/>
            </w14:solidFill>
          </w14:textFill>
        </w:rPr>
        <w:t>四</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w:t>
      </w:r>
      <w:r>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t>应征文件说明</w:t>
      </w:r>
      <w:bookmarkEnd w:id="1"/>
      <w:bookmarkEnd w:id="2"/>
      <w:bookmarkEnd w:id="3"/>
    </w:p>
    <w:p>
      <w:pPr>
        <w:numPr>
          <w:ilvl w:val="0"/>
          <w:numId w:val="3"/>
        </w:numPr>
        <w:spacing w:line="36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应征文件的签署、装订、份数要求</w:t>
      </w:r>
    </w:p>
    <w:p>
      <w:pPr>
        <w:spacing w:line="36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应征企业应按如下要求签署应征文件：应征企业为企业法人，由</w:t>
      </w:r>
      <w:r>
        <w:rPr>
          <w:rFonts w:hint="eastAsia" w:ascii="Times New Roman" w:hAnsi="Times New Roman" w:eastAsia="仿宋_GB2312" w:cs="Times New Roman"/>
          <w:b w:val="0"/>
          <w:bCs/>
          <w:sz w:val="32"/>
          <w:szCs w:val="32"/>
          <w:lang w:eastAsia="zh-CN"/>
        </w:rPr>
        <w:t>企业</w:t>
      </w:r>
      <w:r>
        <w:rPr>
          <w:rFonts w:hint="default" w:ascii="Times New Roman" w:hAnsi="Times New Roman" w:eastAsia="仿宋_GB2312" w:cs="Times New Roman"/>
          <w:b w:val="0"/>
          <w:bCs/>
          <w:sz w:val="32"/>
          <w:szCs w:val="32"/>
        </w:rPr>
        <w:t>的法定代表人和授权代表签名并加盖法人的印章。</w:t>
      </w:r>
    </w:p>
    <w:p>
      <w:pPr>
        <w:spacing w:line="36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应征企业应按照《2020年第六届亚洲沙滩运动会</w:t>
      </w:r>
      <w:r>
        <w:rPr>
          <w:rFonts w:hint="eastAsia" w:ascii="Times New Roman" w:hAnsi="Times New Roman" w:eastAsia="仿宋_GB2312" w:cs="Times New Roman"/>
          <w:b w:val="0"/>
          <w:bCs/>
          <w:sz w:val="32"/>
          <w:szCs w:val="32"/>
          <w:lang w:eastAsia="zh-CN"/>
        </w:rPr>
        <w:t>制服类保障方案、</w:t>
      </w:r>
      <w:r>
        <w:rPr>
          <w:rFonts w:hint="default" w:ascii="Times New Roman" w:hAnsi="Times New Roman" w:eastAsia="仿宋_GB2312" w:cs="Times New Roman"/>
          <w:b w:val="0"/>
          <w:bCs/>
          <w:sz w:val="32"/>
          <w:szCs w:val="32"/>
        </w:rPr>
        <w:t>赞助方案及报价明细》</w:t>
      </w:r>
      <w:r>
        <w:rPr>
          <w:rFonts w:hint="eastAsia" w:ascii="Times New Roman" w:hAnsi="Times New Roman" w:eastAsia="仿宋_GB2312" w:cs="Times New Roman"/>
          <w:b w:val="0"/>
          <w:bCs/>
          <w:sz w:val="32"/>
          <w:szCs w:val="32"/>
          <w:lang w:eastAsia="zh-CN"/>
        </w:rPr>
        <w:t>（以下简称《保障方案、</w:t>
      </w:r>
      <w:r>
        <w:rPr>
          <w:rFonts w:hint="default" w:ascii="Times New Roman" w:hAnsi="Times New Roman" w:eastAsia="仿宋_GB2312" w:cs="Times New Roman"/>
          <w:b w:val="0"/>
          <w:bCs/>
          <w:sz w:val="32"/>
          <w:szCs w:val="32"/>
        </w:rPr>
        <w:t>赞助方案及报价明细</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要求依次编排应征文件，并对应征文件进行密封。</w:t>
      </w:r>
    </w:p>
    <w:p>
      <w:pPr>
        <w:spacing w:line="36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应征企业应提交一式</w:t>
      </w:r>
      <w:r>
        <w:rPr>
          <w:rFonts w:hint="default" w:ascii="Times New Roman" w:hAnsi="Times New Roman" w:eastAsia="仿宋_GB2312" w:cs="Times New Roman"/>
          <w:b w:val="0"/>
          <w:bCs/>
          <w:sz w:val="32"/>
          <w:szCs w:val="32"/>
          <w:lang w:val="en-US" w:eastAsia="zh-CN"/>
        </w:rPr>
        <w:t>十</w:t>
      </w:r>
      <w:r>
        <w:rPr>
          <w:rFonts w:hint="default" w:ascii="Times New Roman" w:hAnsi="Times New Roman" w:eastAsia="仿宋_GB2312" w:cs="Times New Roman"/>
          <w:b w:val="0"/>
          <w:bCs/>
          <w:sz w:val="32"/>
          <w:szCs w:val="32"/>
        </w:rPr>
        <w:t>份应征文件，一份为“正本”、</w:t>
      </w:r>
      <w:r>
        <w:rPr>
          <w:rFonts w:hint="default" w:ascii="Times New Roman" w:hAnsi="Times New Roman" w:eastAsia="仿宋_GB2312" w:cs="Times New Roman"/>
          <w:b w:val="0"/>
          <w:bCs/>
          <w:sz w:val="32"/>
          <w:szCs w:val="32"/>
          <w:lang w:val="en-US" w:eastAsia="zh-CN"/>
        </w:rPr>
        <w:t>九</w:t>
      </w:r>
      <w:r>
        <w:rPr>
          <w:rFonts w:hint="default" w:ascii="Times New Roman" w:hAnsi="Times New Roman" w:eastAsia="仿宋_GB2312" w:cs="Times New Roman"/>
          <w:b w:val="0"/>
          <w:bCs/>
          <w:sz w:val="32"/>
          <w:szCs w:val="32"/>
        </w:rPr>
        <w:t>份为“副本”；正本、副本不一致的，适用正本。</w:t>
      </w:r>
    </w:p>
    <w:p>
      <w:pPr>
        <w:numPr>
          <w:ilvl w:val="0"/>
          <w:numId w:val="3"/>
        </w:numPr>
        <w:spacing w:line="36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三亚亚沙会组委会可在任何时间自行对本</w:t>
      </w:r>
      <w:r>
        <w:rPr>
          <w:rFonts w:hint="eastAsia" w:ascii="Times New Roman" w:hAnsi="Times New Roman" w:eastAsia="仿宋_GB2312" w:cs="Times New Roman"/>
          <w:b w:val="0"/>
          <w:bCs/>
          <w:sz w:val="32"/>
          <w:szCs w:val="32"/>
          <w:lang w:eastAsia="zh-CN"/>
        </w:rPr>
        <w:t>《保障方案、</w:t>
      </w:r>
      <w:r>
        <w:rPr>
          <w:rFonts w:hint="default" w:ascii="Times New Roman" w:hAnsi="Times New Roman" w:eastAsia="仿宋_GB2312" w:cs="Times New Roman"/>
          <w:b w:val="0"/>
          <w:bCs/>
          <w:sz w:val="32"/>
          <w:szCs w:val="32"/>
        </w:rPr>
        <w:t>赞助方案及报价明细</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进行更改或撤回。三亚亚沙会组委会和亚奥理事会将不会因此对应征企业承担任何责任。三亚亚沙会组委会将通过三亚市人民政府官网（www.sanya.gov.cn）、三亚亚沙会官网（www.sanya2020.cn）及</w:t>
      </w:r>
      <w:r>
        <w:rPr>
          <w:rFonts w:hint="default" w:ascii="Times New Roman" w:hAnsi="Times New Roman" w:eastAsia="仿宋_GB2312" w:cs="Times New Roman"/>
          <w:b w:val="0"/>
          <w:bCs/>
          <w:sz w:val="32"/>
          <w:szCs w:val="32"/>
          <w:lang w:val="en-US" w:eastAsia="zh-CN"/>
        </w:rPr>
        <w:t>微信</w:t>
      </w:r>
      <w:r>
        <w:rPr>
          <w:rFonts w:hint="default" w:ascii="Times New Roman" w:hAnsi="Times New Roman" w:eastAsia="仿宋_GB2312" w:cs="Times New Roman"/>
          <w:b w:val="0"/>
          <w:bCs/>
          <w:sz w:val="32"/>
          <w:szCs w:val="32"/>
        </w:rPr>
        <w:t>公众号公布对</w:t>
      </w:r>
      <w:r>
        <w:rPr>
          <w:rFonts w:hint="eastAsia" w:ascii="Times New Roman" w:hAnsi="Times New Roman" w:eastAsia="仿宋_GB2312" w:cs="Times New Roman"/>
          <w:b w:val="0"/>
          <w:bCs/>
          <w:sz w:val="32"/>
          <w:szCs w:val="32"/>
          <w:lang w:eastAsia="zh-CN"/>
        </w:rPr>
        <w:t>本《保障方案、</w:t>
      </w:r>
      <w:r>
        <w:rPr>
          <w:rFonts w:hint="default" w:ascii="Times New Roman" w:hAnsi="Times New Roman" w:eastAsia="仿宋_GB2312" w:cs="Times New Roman"/>
          <w:b w:val="0"/>
          <w:bCs/>
          <w:sz w:val="32"/>
          <w:szCs w:val="32"/>
        </w:rPr>
        <w:t>赞助方案及报价明细</w:t>
      </w:r>
      <w:r>
        <w:rPr>
          <w:rFonts w:hint="eastAsia" w:ascii="Times New Roman" w:hAnsi="Times New Roman" w:eastAsia="仿宋_GB2312" w:cs="Times New Roman"/>
          <w:b w:val="0"/>
          <w:bCs/>
          <w:sz w:val="32"/>
          <w:szCs w:val="32"/>
          <w:lang w:eastAsia="zh-CN"/>
        </w:rPr>
        <w:t>》内容</w:t>
      </w:r>
      <w:r>
        <w:rPr>
          <w:rFonts w:hint="default" w:ascii="Times New Roman" w:hAnsi="Times New Roman" w:eastAsia="仿宋_GB2312" w:cs="Times New Roman"/>
          <w:b w:val="0"/>
          <w:bCs/>
          <w:sz w:val="32"/>
          <w:szCs w:val="32"/>
        </w:rPr>
        <w:t>的更改或撤回。更改或撤回自公布之日起生效。</w:t>
      </w:r>
    </w:p>
    <w:p>
      <w:pPr>
        <w:numPr>
          <w:ilvl w:val="0"/>
          <w:numId w:val="3"/>
        </w:numPr>
        <w:spacing w:line="36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本</w:t>
      </w:r>
      <w:r>
        <w:rPr>
          <w:rFonts w:hint="eastAsia" w:ascii="Times New Roman" w:hAnsi="Times New Roman" w:eastAsia="仿宋_GB2312" w:cs="Times New Roman"/>
          <w:b w:val="0"/>
          <w:bCs/>
          <w:sz w:val="32"/>
          <w:szCs w:val="32"/>
          <w:lang w:eastAsia="zh-CN"/>
        </w:rPr>
        <w:t>《保障方案、</w:t>
      </w:r>
      <w:r>
        <w:rPr>
          <w:rFonts w:hint="default" w:ascii="Times New Roman" w:hAnsi="Times New Roman" w:eastAsia="仿宋_GB2312" w:cs="Times New Roman"/>
          <w:b w:val="0"/>
          <w:bCs/>
          <w:sz w:val="32"/>
          <w:szCs w:val="32"/>
        </w:rPr>
        <w:t>赞助方案及报价明细</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及其全部附件、应征文件及相关文件中所提及的天数均为日历日，所提及的所有具体时间均为北京时间。</w:t>
      </w:r>
    </w:p>
    <w:p>
      <w:pPr>
        <w:numPr>
          <w:ilvl w:val="0"/>
          <w:numId w:val="3"/>
        </w:numPr>
        <w:spacing w:line="36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本</w:t>
      </w:r>
      <w:r>
        <w:rPr>
          <w:rFonts w:hint="eastAsia" w:ascii="Times New Roman" w:hAnsi="Times New Roman" w:eastAsia="仿宋_GB2312" w:cs="Times New Roman"/>
          <w:b w:val="0"/>
          <w:bCs/>
          <w:sz w:val="32"/>
          <w:szCs w:val="32"/>
          <w:lang w:eastAsia="zh-CN"/>
        </w:rPr>
        <w:t>《保障方案、</w:t>
      </w:r>
      <w:r>
        <w:rPr>
          <w:rFonts w:hint="default" w:ascii="Times New Roman" w:hAnsi="Times New Roman" w:eastAsia="仿宋_GB2312" w:cs="Times New Roman"/>
          <w:b w:val="0"/>
          <w:bCs/>
          <w:sz w:val="32"/>
          <w:szCs w:val="32"/>
        </w:rPr>
        <w:t>赞助方案及报价明细</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适用中华人民共和国法律。</w:t>
      </w:r>
    </w:p>
    <w:p>
      <w:pPr>
        <w:numPr>
          <w:ilvl w:val="0"/>
          <w:numId w:val="3"/>
        </w:numPr>
        <w:spacing w:line="360" w:lineRule="auto"/>
        <w:ind w:firstLine="640" w:firstLineChars="200"/>
        <w:rPr>
          <w:rFonts w:hint="default" w:ascii="Times New Roman" w:hAnsi="Times New Roman" w:eastAsia="仿宋_GB2312" w:cs="Times New Roman"/>
          <w:b w:val="0"/>
          <w:bCs/>
          <w:sz w:val="32"/>
          <w:szCs w:val="32"/>
          <w:highlight w:val="none"/>
        </w:rPr>
      </w:pPr>
      <w:r>
        <w:rPr>
          <w:rFonts w:hint="eastAsia" w:ascii="仿宋_GB2312" w:hAnsi="仿宋_GB2312" w:eastAsia="仿宋_GB2312" w:cs="仿宋_GB2312"/>
          <w:sz w:val="32"/>
          <w:szCs w:val="32"/>
        </w:rPr>
        <w:t>为确保公平公正，</w:t>
      </w:r>
      <w:r>
        <w:rPr>
          <w:rFonts w:hint="eastAsia" w:ascii="仿宋_GB2312" w:hAnsi="仿宋_GB2312" w:eastAsia="仿宋_GB2312" w:cs="仿宋_GB2312"/>
          <w:sz w:val="32"/>
          <w:szCs w:val="32"/>
          <w:lang w:eastAsia="zh-CN"/>
        </w:rPr>
        <w:t>本</w:t>
      </w:r>
      <w:r>
        <w:rPr>
          <w:rFonts w:hint="eastAsia" w:ascii="Times New Roman" w:hAnsi="Times New Roman" w:eastAsia="仿宋_GB2312"/>
          <w:kern w:val="2"/>
          <w:sz w:val="32"/>
          <w:szCs w:val="32"/>
          <w:highlight w:val="none"/>
          <w:lang w:eastAsia="zh-CN"/>
        </w:rPr>
        <w:t>《保障方案、赞助方案及报价明细》加盖</w:t>
      </w:r>
      <w:r>
        <w:rPr>
          <w:rFonts w:hint="eastAsia" w:ascii="仿宋_GB2312" w:hAnsi="仿宋_GB2312" w:eastAsia="仿宋_GB2312" w:cs="仿宋_GB2312"/>
          <w:sz w:val="32"/>
          <w:szCs w:val="32"/>
          <w:highlight w:val="none"/>
          <w:lang w:eastAsia="zh-CN"/>
        </w:rPr>
        <w:t>密封章后在磋商评审会议时当场提交。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A802E"/>
    <w:multiLevelType w:val="singleLevel"/>
    <w:tmpl w:val="C6FA802E"/>
    <w:lvl w:ilvl="0" w:tentative="0">
      <w:start w:val="1"/>
      <w:numFmt w:val="decimal"/>
      <w:suff w:val="space"/>
      <w:lvlText w:val="%1."/>
      <w:lvlJc w:val="left"/>
    </w:lvl>
  </w:abstractNum>
  <w:abstractNum w:abstractNumId="1">
    <w:nsid w:val="DACDAAEE"/>
    <w:multiLevelType w:val="singleLevel"/>
    <w:tmpl w:val="DACDAAEE"/>
    <w:lvl w:ilvl="0" w:tentative="0">
      <w:start w:val="1"/>
      <w:numFmt w:val="decimal"/>
      <w:suff w:val="space"/>
      <w:lvlText w:val="%1."/>
      <w:lvlJc w:val="left"/>
    </w:lvl>
  </w:abstractNum>
  <w:abstractNum w:abstractNumId="2">
    <w:nsid w:val="579C7E98"/>
    <w:multiLevelType w:val="singleLevel"/>
    <w:tmpl w:val="579C7E98"/>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EE54F5"/>
    <w:rsid w:val="151B3B5B"/>
    <w:rsid w:val="238313A0"/>
    <w:rsid w:val="2B7F3F62"/>
    <w:rsid w:val="2D897A37"/>
    <w:rsid w:val="4C6C5AF2"/>
    <w:rsid w:val="52183241"/>
    <w:rsid w:val="5693316C"/>
    <w:rsid w:val="5DF01304"/>
    <w:rsid w:val="788651F5"/>
    <w:rsid w:val="7AF91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宋体" w:cs="Times New Roman"/>
    </w:rPr>
  </w:style>
  <w:style w:type="paragraph" w:styleId="4">
    <w:name w:val="Body Text First Indent"/>
    <w:basedOn w:val="3"/>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2020-05-07T09:36:00Z</dcterms:created>
  <dc:creator>Administrator</dc:creator>
  <cp:lastModifiedBy>戴戴</cp:lastModifiedBy>
  <cp:lastPrinted>2020-06-18T01:27:00Z</cp:lastPrinted>
  <dcterms:modified xsi:type="dcterms:W3CDTF">2020-06-24T11:17:50Z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